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C61808" w:rsidP="00B17EFB">
      <w:pPr>
        <w:spacing w:after="0" w:line="240" w:lineRule="auto"/>
        <w:jc w:val="center"/>
        <w:rPr>
          <w:b/>
          <w:szCs w:val="28"/>
        </w:rPr>
      </w:pPr>
      <w:r>
        <w:rPr>
          <w:b/>
          <w:szCs w:val="28"/>
        </w:rPr>
        <w:t>ГЛУССКИЙ РАЙОННЫЙ</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C61808" w:rsidP="00B17EFB">
      <w:pPr>
        <w:spacing w:after="0" w:line="240" w:lineRule="auto"/>
        <w:jc w:val="center"/>
        <w:rPr>
          <w:b/>
          <w:szCs w:val="28"/>
        </w:rPr>
      </w:pPr>
      <w:r>
        <w:rPr>
          <w:b/>
          <w:szCs w:val="28"/>
        </w:rPr>
        <w:t xml:space="preserve">ОТДЕЛ </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 xml:space="preserve">ПОЛИТИЧЕСКАЯ БЕЗОПАСНОСТЬ </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ИЗБИРАТЕЛЬНАЯ КАМПАНИЯ 2024 ГОДА</w:t>
      </w:r>
    </w:p>
    <w:p w:rsidR="00B17EFB" w:rsidRDefault="00B17EFB" w:rsidP="00B17EFB">
      <w:pPr>
        <w:spacing w:after="0" w:line="240" w:lineRule="auto"/>
        <w:ind w:left="-1134" w:right="-143" w:firstLine="709"/>
        <w:jc w:val="center"/>
        <w:rPr>
          <w:b/>
          <w:bCs/>
          <w:sz w:val="30"/>
          <w:szCs w:val="30"/>
        </w:rPr>
      </w:pPr>
      <w:r w:rsidRPr="00B17EFB">
        <w:rPr>
          <w:b/>
          <w:bCs/>
          <w:sz w:val="40"/>
          <w:szCs w:val="40"/>
        </w:rPr>
        <w:t>В НОВЫХ ПРАВОВЫХ УСЛОВИЯХ</w:t>
      </w: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C61808">
        <w:rPr>
          <w:b/>
          <w:szCs w:val="28"/>
        </w:rPr>
        <w:t>п.Глуск</w:t>
      </w:r>
    </w:p>
    <w:p w:rsidR="00B17EFB" w:rsidRDefault="00B17EFB" w:rsidP="00B17EFB">
      <w:pPr>
        <w:spacing w:after="0" w:line="240" w:lineRule="auto"/>
        <w:jc w:val="center"/>
        <w:rPr>
          <w:b/>
          <w:szCs w:val="28"/>
        </w:rPr>
      </w:pPr>
      <w:r>
        <w:rPr>
          <w:b/>
          <w:szCs w:val="28"/>
        </w:rPr>
        <w:t>декабрь 2023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463"/>
      </w:tblGrid>
      <w:tr w:rsidR="00B17EFB" w:rsidTr="00F7023F">
        <w:tc>
          <w:tcPr>
            <w:tcW w:w="9606" w:type="dxa"/>
          </w:tcPr>
          <w:p w:rsidR="00B17EFB" w:rsidRDefault="000767C7"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Политическая безопасность как основа общественно-политической стабильности суверенного государства. Избирательная кампания 224 года в новых правовых условиях</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p>
          <w:p w:rsidR="00B17EFB" w:rsidRDefault="00B17EFB" w:rsidP="00784C3E">
            <w:pPr>
              <w:pStyle w:val="a7"/>
              <w:ind w:left="57" w:right="-396"/>
              <w:rPr>
                <w:rFonts w:ascii="Times New Roman" w:hAnsi="Times New Roman"/>
                <w:bCs/>
                <w:sz w:val="30"/>
                <w:szCs w:val="30"/>
                <w:lang w:val="ru-RU"/>
              </w:rPr>
            </w:pPr>
          </w:p>
        </w:tc>
        <w:tc>
          <w:tcPr>
            <w:tcW w:w="463" w:type="dxa"/>
          </w:tcPr>
          <w:p w:rsidR="00B17EFB" w:rsidRDefault="00B17EFB" w:rsidP="00784C3E">
            <w:pPr>
              <w:rPr>
                <w:rFonts w:ascii="Times New Roman" w:hAnsi="Times New Roman"/>
                <w:bCs/>
                <w:sz w:val="30"/>
                <w:szCs w:val="30"/>
                <w:lang w:val="ru-RU"/>
              </w:rPr>
            </w:pPr>
          </w:p>
        </w:tc>
      </w:tr>
      <w:tr w:rsidR="00B17EFB" w:rsidTr="00F7023F">
        <w:trPr>
          <w:gridAfter w:val="1"/>
          <w:wAfter w:w="463" w:type="dxa"/>
        </w:trPr>
        <w:tc>
          <w:tcPr>
            <w:tcW w:w="9606" w:type="dxa"/>
          </w:tcPr>
          <w:p w:rsidR="00B17EFB" w:rsidRDefault="006D65CE" w:rsidP="00B17EFB">
            <w:pPr>
              <w:pStyle w:val="a7"/>
              <w:numPr>
                <w:ilvl w:val="0"/>
                <w:numId w:val="9"/>
              </w:numPr>
              <w:ind w:left="34" w:firstLine="23"/>
              <w:rPr>
                <w:rFonts w:ascii="Times New Roman" w:hAnsi="Times New Roman"/>
                <w:bCs/>
                <w:sz w:val="30"/>
                <w:szCs w:val="30"/>
                <w:lang w:val="ru-RU"/>
              </w:rPr>
            </w:pPr>
            <w:r w:rsidRPr="006D65CE">
              <w:rPr>
                <w:rFonts w:ascii="Times New Roman" w:hAnsi="Times New Roman" w:cs="Times New Roman"/>
                <w:bCs/>
                <w:sz w:val="30"/>
                <w:szCs w:val="30"/>
                <w:lang w:val="ru-RU"/>
              </w:rPr>
              <w:t xml:space="preserve">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w:t>
            </w:r>
            <w:r w:rsidRPr="006D65CE">
              <w:rPr>
                <w:rFonts w:ascii="Times New Roman" w:hAnsi="Times New Roman" w:cs="Times New Roman"/>
                <w:bCs/>
                <w:sz w:val="30"/>
                <w:szCs w:val="30"/>
              </w:rPr>
              <w:t>Печное отопление. Безопасная елка. Пиротехника</w:t>
            </w:r>
            <w:r w:rsidR="00B17EFB" w:rsidRPr="006D65CE">
              <w:rPr>
                <w:rFonts w:ascii="Times New Roman" w:hAnsi="Times New Roman" w:cs="Times New Roman"/>
                <w:bCs/>
                <w:color w:val="FFFFFF" w:themeColor="background1"/>
                <w:sz w:val="30"/>
                <w:szCs w:val="30"/>
                <w:lang w:val="ru-RU"/>
              </w:rPr>
              <w:t>……………</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p>
          <w:p w:rsidR="00B17EFB" w:rsidRDefault="00B17EFB" w:rsidP="00784C3E">
            <w:pPr>
              <w:pStyle w:val="a7"/>
              <w:ind w:left="57"/>
              <w:rPr>
                <w:rFonts w:ascii="Times New Roman" w:hAnsi="Times New Roman"/>
                <w:bCs/>
                <w:sz w:val="30"/>
                <w:szCs w:val="30"/>
                <w:lang w:val="ru-RU"/>
              </w:rPr>
            </w:pPr>
          </w:p>
        </w:tc>
      </w:tr>
      <w:tr w:rsidR="00B17EFB" w:rsidTr="00F7023F">
        <w:trPr>
          <w:gridAfter w:val="1"/>
          <w:wAfter w:w="463" w:type="dxa"/>
        </w:trPr>
        <w:tc>
          <w:tcPr>
            <w:tcW w:w="9606" w:type="dxa"/>
          </w:tcPr>
          <w:p w:rsidR="00B17EFB" w:rsidRPr="00FF7E7C" w:rsidRDefault="00DC5DFB" w:rsidP="00B17EFB">
            <w:pPr>
              <w:pStyle w:val="a7"/>
              <w:numPr>
                <w:ilvl w:val="0"/>
                <w:numId w:val="9"/>
              </w:numPr>
              <w:ind w:left="0" w:firstLine="0"/>
              <w:jc w:val="both"/>
              <w:rPr>
                <w:rFonts w:ascii="Times New Roman" w:hAnsi="Times New Roman"/>
                <w:bCs/>
                <w:sz w:val="30"/>
                <w:szCs w:val="30"/>
                <w:lang w:val="ru-RU"/>
              </w:rPr>
            </w:pPr>
            <w:r w:rsidRPr="00DC5DFB">
              <w:rPr>
                <w:rFonts w:ascii="Times New Roman" w:hAnsi="Times New Roman" w:cs="Times New Roman"/>
                <w:sz w:val="30"/>
                <w:szCs w:val="30"/>
                <w:lang w:val="ru-RU"/>
              </w:rPr>
              <w:t>Возможности кредитной поддержки молодых специалистов и молодежи до 31 года при строительстве жилья и приобретении домашнего имущества</w:t>
            </w:r>
            <w:r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Pr="00FF7E7C">
              <w:rPr>
                <w:rFonts w:ascii="Times New Roman" w:hAnsi="Times New Roman" w:cs="Times New Roman"/>
                <w:bCs/>
                <w:sz w:val="30"/>
                <w:szCs w:val="30"/>
                <w:lang w:val="ru-RU"/>
              </w:rPr>
              <w:t xml:space="preserve">                                  </w:t>
            </w:r>
          </w:p>
          <w:p w:rsidR="00B17EFB" w:rsidRDefault="00B17EFB" w:rsidP="00784C3E">
            <w:pPr>
              <w:pStyle w:val="a7"/>
              <w:ind w:left="0"/>
              <w:jc w:val="both"/>
              <w:rPr>
                <w:rFonts w:ascii="Times New Roman" w:hAnsi="Times New Roman"/>
                <w:bCs/>
                <w:sz w:val="30"/>
                <w:szCs w:val="30"/>
                <w:lang w:val="ru-RU"/>
              </w:rPr>
            </w:pPr>
          </w:p>
        </w:tc>
      </w:tr>
      <w:tr w:rsidR="00B17EFB" w:rsidTr="00F7023F">
        <w:trPr>
          <w:gridAfter w:val="1"/>
          <w:wAfter w:w="463" w:type="dxa"/>
        </w:trPr>
        <w:tc>
          <w:tcPr>
            <w:tcW w:w="9606" w:type="dxa"/>
          </w:tcPr>
          <w:p w:rsidR="00B17EFB" w:rsidRDefault="00B17EFB" w:rsidP="00C61808">
            <w:pPr>
              <w:pStyle w:val="a7"/>
              <w:spacing w:line="280" w:lineRule="exact"/>
              <w:ind w:left="0"/>
              <w:jc w:val="both"/>
              <w:rPr>
                <w:rFonts w:ascii="Times New Roman" w:hAnsi="Times New Roman" w:cs="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B531D" w:rsidRDefault="003B531D"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76B8C" w:rsidRDefault="00376B8C"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479CF" w:rsidRPr="00A479CF" w:rsidRDefault="00A479CF" w:rsidP="00A479CF">
      <w:pPr>
        <w:spacing w:after="0" w:line="240" w:lineRule="auto"/>
        <w:ind w:firstLine="709"/>
        <w:jc w:val="center"/>
        <w:rPr>
          <w:b/>
          <w:bCs/>
          <w:sz w:val="30"/>
          <w:szCs w:val="30"/>
        </w:rPr>
      </w:pPr>
      <w:bookmarkStart w:id="0" w:name="_GoBack"/>
      <w:bookmarkEnd w:id="0"/>
      <w:r w:rsidRPr="00A479CF">
        <w:rPr>
          <w:b/>
          <w:bCs/>
          <w:sz w:val="30"/>
          <w:szCs w:val="30"/>
        </w:rPr>
        <w:lastRenderedPageBreak/>
        <w:t xml:space="preserve">ПОЛИТИЧЕСКАЯ БЕЗОПАСНОСТЬ </w:t>
      </w:r>
    </w:p>
    <w:p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rsidR="00A479CF" w:rsidRPr="00D320D4" w:rsidRDefault="00A479CF" w:rsidP="00A479CF">
      <w:pPr>
        <w:spacing w:after="0" w:line="240" w:lineRule="auto"/>
        <w:ind w:firstLine="709"/>
        <w:jc w:val="center"/>
        <w:rPr>
          <w:bCs/>
          <w:sz w:val="16"/>
          <w:szCs w:val="16"/>
        </w:rPr>
      </w:pPr>
    </w:p>
    <w:p w:rsidR="00124D2A" w:rsidRPr="00174ED8" w:rsidRDefault="00124D2A" w:rsidP="00174ED8">
      <w:pPr>
        <w:widowControl w:val="0"/>
        <w:spacing w:after="0" w:line="300" w:lineRule="exact"/>
        <w:ind w:left="-567" w:right="-284"/>
        <w:jc w:val="center"/>
        <w:rPr>
          <w:rFonts w:cs="Times New Roman"/>
          <w:b/>
          <w:bCs/>
          <w:sz w:val="20"/>
          <w:szCs w:val="20"/>
        </w:rPr>
      </w:pPr>
    </w:p>
    <w:p w:rsidR="00124D2A" w:rsidRDefault="00124D2A" w:rsidP="00174ED8">
      <w:pPr>
        <w:spacing w:after="0" w:line="240" w:lineRule="auto"/>
        <w:ind w:right="-143" w:firstLine="709"/>
        <w:jc w:val="center"/>
        <w:rPr>
          <w:rFonts w:cs="Times New Roman"/>
          <w:bCs/>
          <w:sz w:val="30"/>
          <w:szCs w:val="30"/>
        </w:rPr>
      </w:pPr>
    </w:p>
    <w:p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информационн</w:t>
      </w:r>
      <w:r w:rsidR="00251446">
        <w:rPr>
          <w:rFonts w:cs="Times New Roman"/>
          <w:bCs/>
          <w:sz w:val="30"/>
          <w:szCs w:val="30"/>
        </w:rPr>
        <w:t>ая</w:t>
      </w:r>
      <w:r w:rsidR="00251446" w:rsidRPr="00CC75CA">
        <w:rPr>
          <w:rFonts w:cs="Times New Roman"/>
          <w:bCs/>
          <w:sz w:val="30"/>
          <w:szCs w:val="30"/>
        </w:rPr>
        <w:t>, санкционн</w:t>
      </w:r>
      <w:r w:rsidR="00251446">
        <w:rPr>
          <w:rFonts w:cs="Times New Roman"/>
          <w:bCs/>
          <w:sz w:val="30"/>
          <w:szCs w:val="30"/>
        </w:rPr>
        <w:t>ая</w:t>
      </w:r>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251446">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251446">
      <w:pPr>
        <w:spacing w:after="0" w:line="240" w:lineRule="auto"/>
        <w:ind w:firstLine="709"/>
        <w:jc w:val="both"/>
        <w:rPr>
          <w:rFonts w:cs="Times New Roman"/>
          <w:b/>
          <w:sz w:val="30"/>
          <w:szCs w:val="30"/>
        </w:rPr>
      </w:pPr>
    </w:p>
    <w:p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нарастанием противоречий между основными субъектами мировой 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lastRenderedPageBreak/>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bCs/>
          <w:i/>
          <w:szCs w:val="28"/>
        </w:rPr>
      </w:pP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rsidR="008355B9" w:rsidRPr="00603D18" w:rsidRDefault="008355B9" w:rsidP="008355B9">
      <w:pPr>
        <w:spacing w:before="120" w:after="0" w:line="300" w:lineRule="exact"/>
        <w:jc w:val="both"/>
        <w:rPr>
          <w:rFonts w:cs="Times New Roman"/>
          <w:b/>
          <w:bCs/>
          <w:i/>
          <w:szCs w:val="28"/>
        </w:rPr>
      </w:pPr>
      <w:r w:rsidRPr="00603D18">
        <w:rPr>
          <w:rFonts w:cs="Times New Roman"/>
          <w:b/>
          <w:bCs/>
          <w:i/>
          <w:szCs w:val="28"/>
        </w:rPr>
        <w:t>Справочно:</w:t>
      </w:r>
    </w:p>
    <w:p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9F2195">
      <w:pPr>
        <w:spacing w:after="0" w:line="240" w:lineRule="auto"/>
        <w:ind w:firstLine="709"/>
        <w:jc w:val="both"/>
        <w:rPr>
          <w:rFonts w:cs="Times New Roman"/>
          <w:bCs/>
          <w:sz w:val="30"/>
          <w:szCs w:val="30"/>
        </w:rPr>
      </w:pPr>
      <w:r>
        <w:rPr>
          <w:rFonts w:cs="Times New Roman"/>
          <w:bCs/>
          <w:sz w:val="30"/>
          <w:szCs w:val="30"/>
        </w:rPr>
        <w:lastRenderedPageBreak/>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r w:rsidR="00396087" w:rsidRPr="00396087">
        <w:rPr>
          <w:rFonts w:cs="Times New Roman"/>
          <w:b/>
          <w:bCs/>
          <w:sz w:val="30"/>
          <w:szCs w:val="30"/>
        </w:rPr>
        <w:t>радикализация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396087" w:rsidRPr="00736120" w:rsidRDefault="00E44FB3" w:rsidP="00012C23">
      <w:pPr>
        <w:spacing w:before="120" w:after="0" w:line="300" w:lineRule="exact"/>
        <w:jc w:val="both"/>
        <w:rPr>
          <w:rFonts w:cs="Times New Roman"/>
          <w:b/>
          <w:bCs/>
          <w:i/>
          <w:szCs w:val="28"/>
        </w:rPr>
      </w:pPr>
      <w:r w:rsidRPr="00736120">
        <w:rPr>
          <w:rFonts w:cs="Times New Roman"/>
          <w:b/>
          <w:bCs/>
          <w:i/>
          <w:szCs w:val="28"/>
        </w:rPr>
        <w:t>Справочно:</w:t>
      </w:r>
    </w:p>
    <w:p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е и антибелорусские</w:t>
      </w:r>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944D12" w:rsidRDefault="00DB28B1" w:rsidP="00012C23">
      <w:pPr>
        <w:spacing w:before="120" w:after="0" w:line="300" w:lineRule="exact"/>
        <w:jc w:val="both"/>
        <w:rPr>
          <w:rFonts w:cs="Times New Roman"/>
          <w:b/>
          <w:bCs/>
          <w:i/>
          <w:szCs w:val="28"/>
        </w:rPr>
      </w:pPr>
      <w:r w:rsidRPr="00944D12">
        <w:rPr>
          <w:rFonts w:cs="Times New Roman"/>
          <w:b/>
          <w:bCs/>
          <w:i/>
          <w:szCs w:val="28"/>
        </w:rPr>
        <w:t>Справочно:</w:t>
      </w:r>
    </w:p>
    <w:p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t>легионеров «Ваффен-</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w:t>
      </w:r>
      <w:r w:rsidR="00247DFA" w:rsidRPr="00247DFA">
        <w:rPr>
          <w:i/>
          <w:spacing w:val="-4"/>
          <w:szCs w:val="28"/>
        </w:rPr>
        <w:t>г.</w:t>
      </w:r>
      <w:r w:rsidRPr="00247DFA">
        <w:rPr>
          <w:i/>
          <w:spacing w:val="-4"/>
          <w:szCs w:val="28"/>
        </w:rPr>
        <w:t xml:space="preserve">Вильнюсе был открыт памятник А.Раманаускасу, принимавшему </w:t>
      </w:r>
      <w:r w:rsidRPr="00247DFA">
        <w:rPr>
          <w:i/>
          <w:spacing w:val="-4"/>
          <w:szCs w:val="28"/>
        </w:rPr>
        <w:lastRenderedPageBreak/>
        <w:t>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Г.Науседа.</w:t>
      </w:r>
    </w:p>
    <w:p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012C23">
      <w:pPr>
        <w:spacing w:after="0" w:line="300" w:lineRule="exact"/>
        <w:ind w:left="709"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роклятых солдат», участники которых чтут память Р.Райса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sidR="00AD2D31">
        <w:rPr>
          <w:rFonts w:cs="Times New Roman"/>
          <w:bCs/>
          <w:i/>
          <w:szCs w:val="28"/>
        </w:rPr>
        <w:t>и</w:t>
      </w:r>
      <w:r w:rsidRPr="005162A1">
        <w:rPr>
          <w:rFonts w:cs="Times New Roman"/>
          <w:bCs/>
          <w:i/>
          <w:szCs w:val="28"/>
        </w:rPr>
        <w:t>е установлен памятник «власовцам»</w:t>
      </w:r>
      <w:r w:rsidR="00C01A75">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9F2195" w:rsidRPr="00012C23" w:rsidRDefault="00EE2800" w:rsidP="00012C23">
      <w:pPr>
        <w:spacing w:before="120" w:after="0" w:line="300" w:lineRule="exact"/>
        <w:jc w:val="both"/>
        <w:rPr>
          <w:rFonts w:cs="Times New Roman"/>
          <w:b/>
          <w:bCs/>
          <w:i/>
          <w:szCs w:val="28"/>
        </w:rPr>
      </w:pPr>
      <w:r w:rsidRPr="00012C23">
        <w:rPr>
          <w:rFonts w:cs="Times New Roman"/>
          <w:b/>
          <w:bCs/>
          <w:i/>
          <w:szCs w:val="28"/>
        </w:rPr>
        <w:t>Справочно:</w:t>
      </w:r>
    </w:p>
    <w:p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Один из примеров –</w:t>
      </w:r>
      <w:r w:rsidR="00EE2800" w:rsidRPr="00012C23">
        <w:rPr>
          <w:rFonts w:cs="Times New Roman"/>
          <w:bCs/>
          <w:i/>
          <w:szCs w:val="28"/>
        </w:rPr>
        <w:t xml:space="preserve">размещение </w:t>
      </w:r>
      <w:r w:rsidRPr="00012C23">
        <w:rPr>
          <w:rFonts w:cs="Times New Roman"/>
          <w:bCs/>
          <w:i/>
          <w:szCs w:val="28"/>
        </w:rPr>
        <w:t xml:space="preserve">на армянской территории </w:t>
      </w:r>
      <w:r w:rsidR="00EE2800" w:rsidRPr="00012C23">
        <w:rPr>
          <w:rFonts w:cs="Times New Roman"/>
          <w:bCs/>
          <w:i/>
          <w:szCs w:val="28"/>
        </w:rPr>
        <w:t xml:space="preserve">Гражданской миссии ЕС для содействия стабильности в приграничных районах, которая фактически представляет собой инструмент для сбора информации о </w:t>
      </w:r>
      <w:r w:rsidR="00EE2800" w:rsidRPr="00012C23">
        <w:rPr>
          <w:rFonts w:cs="Times New Roman"/>
          <w:bCs/>
          <w:i/>
          <w:szCs w:val="28"/>
        </w:rPr>
        <w:lastRenderedPageBreak/>
        <w:t>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sidR="000E7F4A">
        <w:rPr>
          <w:rFonts w:cs="Times New Roman"/>
          <w:bCs/>
          <w:i/>
          <w:szCs w:val="28"/>
        </w:rPr>
        <w:t>, медийная война</w:t>
      </w:r>
      <w:r w:rsidRPr="001A715D">
        <w:rPr>
          <w:rFonts w:cs="Times New Roman"/>
          <w:bCs/>
          <w:i/>
          <w:szCs w:val="28"/>
        </w:rPr>
        <w:t xml:space="preserve"> и др.).</w:t>
      </w:r>
      <w:r w:rsidR="001C3DF1">
        <w:rPr>
          <w:rFonts w:cs="Times New Roman"/>
          <w:bCs/>
          <w:sz w:val="30"/>
          <w:szCs w:val="30"/>
        </w:rPr>
        <w:t xml:space="preserve"> </w:t>
      </w:r>
    </w:p>
    <w:p w:rsidR="000E7F4A" w:rsidRPr="000E7F4A" w:rsidRDefault="000E7F4A" w:rsidP="000E7F4A">
      <w:pPr>
        <w:spacing w:before="120" w:after="0" w:line="300" w:lineRule="exact"/>
        <w:jc w:val="both"/>
        <w:rPr>
          <w:rFonts w:cs="Times New Roman"/>
          <w:b/>
          <w:bCs/>
          <w:i/>
          <w:szCs w:val="28"/>
        </w:rPr>
      </w:pPr>
      <w:r w:rsidRPr="000E7F4A">
        <w:rPr>
          <w:rFonts w:cs="Times New Roman"/>
          <w:b/>
          <w:bCs/>
          <w:i/>
          <w:szCs w:val="28"/>
        </w:rPr>
        <w:t>Справочно:</w:t>
      </w:r>
    </w:p>
    <w:p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Pr="000E7F4A" w:rsidRDefault="00F03264" w:rsidP="000E7F4A">
      <w:pPr>
        <w:spacing w:before="120" w:after="0" w:line="240" w:lineRule="auto"/>
        <w:jc w:val="both"/>
        <w:rPr>
          <w:rFonts w:cs="Times New Roman"/>
          <w:b/>
          <w:i/>
          <w:szCs w:val="28"/>
        </w:rPr>
      </w:pPr>
      <w:r w:rsidRPr="000E7F4A">
        <w:rPr>
          <w:rFonts w:cs="Times New Roman"/>
          <w:b/>
          <w:i/>
          <w:szCs w:val="28"/>
        </w:rPr>
        <w:t>Справочно:</w:t>
      </w:r>
    </w:p>
    <w:p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 xml:space="preserve">в отношении авиакомпании «Белавиа».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«Белавиа»,</w:t>
      </w:r>
      <w:r w:rsidRPr="001A715D">
        <w:rPr>
          <w:rFonts w:cs="Times New Roman"/>
          <w:bCs/>
          <w:i/>
          <w:szCs w:val="28"/>
        </w:rPr>
        <w:t xml:space="preserve"> 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«Белавиа».</w:t>
      </w:r>
    </w:p>
    <w:p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 xml:space="preserve">ся таким гигантам, </w:t>
      </w:r>
      <w:r w:rsidR="009F2195" w:rsidRPr="00E65144">
        <w:rPr>
          <w:rFonts w:cs="Times New Roman"/>
          <w:b/>
          <w:sz w:val="30"/>
          <w:szCs w:val="30"/>
        </w:rPr>
        <w:lastRenderedPageBreak/>
        <w:t>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9F219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D86C10">
      <w:pPr>
        <w:spacing w:after="0" w:line="240" w:lineRule="auto"/>
        <w:ind w:firstLine="709"/>
        <w:jc w:val="both"/>
        <w:rPr>
          <w:b/>
          <w:bCs/>
          <w:sz w:val="30"/>
          <w:szCs w:val="30"/>
        </w:rPr>
      </w:pPr>
    </w:p>
    <w:p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3B2783">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3B2783">
      <w:pPr>
        <w:spacing w:before="120" w:after="0" w:line="300" w:lineRule="exact"/>
        <w:jc w:val="both"/>
        <w:rPr>
          <w:b/>
          <w:bCs/>
          <w:i/>
        </w:rPr>
      </w:pPr>
      <w:r w:rsidRPr="008640AD">
        <w:rPr>
          <w:b/>
          <w:bCs/>
          <w:i/>
        </w:rPr>
        <w:t>Справочно:</w:t>
      </w:r>
    </w:p>
    <w:p w:rsidR="003B2783" w:rsidRPr="008640AD" w:rsidRDefault="003B2783" w:rsidP="003B2783">
      <w:pPr>
        <w:spacing w:after="0" w:line="300" w:lineRule="exact"/>
        <w:ind w:left="709" w:firstLine="709"/>
        <w:jc w:val="both"/>
        <w:rPr>
          <w:bCs/>
          <w:i/>
        </w:rPr>
      </w:pPr>
      <w:r w:rsidRPr="008640AD">
        <w:rPr>
          <w:bCs/>
          <w:i/>
        </w:rPr>
        <w:lastRenderedPageBreak/>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3B2783">
      <w:pPr>
        <w:spacing w:before="120" w:after="0" w:line="240" w:lineRule="auto"/>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D33342">
      <w:pPr>
        <w:spacing w:before="120" w:after="0" w:line="300" w:lineRule="exact"/>
        <w:jc w:val="both"/>
        <w:rPr>
          <w:b/>
          <w:bCs/>
          <w:i/>
        </w:rPr>
      </w:pPr>
      <w:r w:rsidRPr="008640AD">
        <w:rPr>
          <w:b/>
          <w:bCs/>
          <w:i/>
        </w:rPr>
        <w:t>Справочно:</w:t>
      </w:r>
    </w:p>
    <w:p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FE5DB9">
      <w:pPr>
        <w:spacing w:after="0" w:line="240" w:lineRule="auto"/>
        <w:ind w:firstLine="709"/>
        <w:jc w:val="both"/>
        <w:rPr>
          <w:b/>
          <w:bCs/>
          <w:sz w:val="30"/>
          <w:szCs w:val="30"/>
        </w:rPr>
      </w:pPr>
      <w:r w:rsidRPr="008B0CDE">
        <w:rPr>
          <w:bCs/>
          <w:sz w:val="30"/>
          <w:szCs w:val="30"/>
        </w:rPr>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sidR="00E25E56">
        <w:rPr>
          <w:bCs/>
          <w:sz w:val="30"/>
          <w:szCs w:val="30"/>
        </w:rPr>
        <w:t xml:space="preserve">менения в которую </w:t>
      </w:r>
      <w:r w:rsidR="00E25E56">
        <w:rPr>
          <w:bCs/>
          <w:sz w:val="30"/>
          <w:szCs w:val="30"/>
        </w:rPr>
        <w:lastRenderedPageBreak/>
        <w:t>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FE5DB9">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sidR="009C3F4E">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FE5DB9">
      <w:pPr>
        <w:spacing w:after="0" w:line="240" w:lineRule="auto"/>
        <w:ind w:firstLine="709"/>
        <w:jc w:val="both"/>
        <w:rPr>
          <w:sz w:val="30"/>
          <w:szCs w:val="30"/>
        </w:rPr>
      </w:pPr>
      <w:r w:rsidRPr="00FE5DB9">
        <w:rPr>
          <w:bCs/>
          <w:sz w:val="30"/>
          <w:szCs w:val="30"/>
        </w:rPr>
        <w:lastRenderedPageBreak/>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B7259" w:rsidRDefault="008B7259" w:rsidP="008B7259">
      <w:pPr>
        <w:spacing w:before="120" w:after="0" w:line="300" w:lineRule="exact"/>
        <w:jc w:val="both"/>
        <w:rPr>
          <w:b/>
          <w:bCs/>
          <w:i/>
        </w:rPr>
      </w:pPr>
      <w:r w:rsidRPr="008640AD">
        <w:rPr>
          <w:b/>
          <w:bCs/>
          <w:i/>
        </w:rPr>
        <w:t>Справочно:</w:t>
      </w:r>
      <w:r>
        <w:rPr>
          <w:b/>
          <w:bCs/>
          <w:i/>
        </w:rPr>
        <w:t xml:space="preserve"> </w:t>
      </w:r>
    </w:p>
    <w:p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FE5DB9">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FE5DB9">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031554">
      <w:pPr>
        <w:spacing w:before="120" w:after="0" w:line="300" w:lineRule="exact"/>
        <w:jc w:val="both"/>
        <w:rPr>
          <w:b/>
          <w:bCs/>
          <w:i/>
        </w:rPr>
      </w:pPr>
      <w:r w:rsidRPr="008640AD">
        <w:rPr>
          <w:b/>
          <w:bCs/>
          <w:i/>
        </w:rPr>
        <w:t>Справочно:</w:t>
      </w:r>
    </w:p>
    <w:p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t>«Об изменении законов по вопросам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FE5DB9">
      <w:pPr>
        <w:spacing w:after="0" w:line="240" w:lineRule="auto"/>
        <w:ind w:firstLine="709"/>
        <w:jc w:val="both"/>
        <w:rPr>
          <w:bCs/>
          <w:sz w:val="30"/>
          <w:szCs w:val="30"/>
        </w:rPr>
      </w:pPr>
      <w:r w:rsidRPr="00142A32">
        <w:rPr>
          <w:b/>
          <w:bCs/>
          <w:sz w:val="30"/>
          <w:szCs w:val="30"/>
        </w:rPr>
        <w:lastRenderedPageBreak/>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142A32">
      <w:pPr>
        <w:spacing w:before="120" w:after="0" w:line="300" w:lineRule="exact"/>
        <w:jc w:val="both"/>
        <w:rPr>
          <w:b/>
          <w:bCs/>
          <w:i/>
        </w:rPr>
      </w:pPr>
      <w:r w:rsidRPr="008640AD">
        <w:rPr>
          <w:b/>
          <w:bCs/>
          <w:i/>
        </w:rPr>
        <w:t>Справочно:</w:t>
      </w:r>
    </w:p>
    <w:p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142A32">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FE5DB9">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FE5DB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Президент А.Г.Лукашенко</w:t>
      </w:r>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142A32">
      <w:pPr>
        <w:spacing w:after="0" w:line="240" w:lineRule="auto"/>
        <w:ind w:firstLine="709"/>
        <w:jc w:val="both"/>
        <w:rPr>
          <w:rFonts w:cs="Times New Roman"/>
          <w:b/>
          <w:bCs/>
          <w:sz w:val="30"/>
          <w:szCs w:val="30"/>
        </w:rPr>
      </w:pPr>
    </w:p>
    <w:p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867FAA">
      <w:pPr>
        <w:spacing w:before="120" w:after="0" w:line="300" w:lineRule="exact"/>
        <w:jc w:val="both"/>
        <w:rPr>
          <w:rFonts w:cs="Times New Roman"/>
          <w:b/>
          <w:bCs/>
          <w:i/>
          <w:szCs w:val="28"/>
        </w:rPr>
      </w:pPr>
      <w:r w:rsidRPr="00774F5E">
        <w:rPr>
          <w:rFonts w:cs="Times New Roman"/>
          <w:b/>
          <w:bCs/>
          <w:i/>
          <w:szCs w:val="28"/>
        </w:rPr>
        <w:t>Справочно:</w:t>
      </w:r>
    </w:p>
    <w:p w:rsidR="00142A32" w:rsidRPr="00774F5E" w:rsidRDefault="00867FAA" w:rsidP="00867FAA">
      <w:pPr>
        <w:spacing w:after="0" w:line="300" w:lineRule="exact"/>
        <w:ind w:left="709" w:firstLine="709"/>
        <w:jc w:val="both"/>
        <w:rPr>
          <w:rFonts w:cs="Times New Roman"/>
          <w:bCs/>
          <w:i/>
          <w:szCs w:val="28"/>
        </w:rPr>
      </w:pPr>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(«Тюльпановая революция» 2005 год)</w:t>
      </w:r>
      <w:r w:rsidR="00142A32"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w:t>
      </w:r>
      <w:r w:rsidRPr="00774F5E">
        <w:rPr>
          <w:rFonts w:cs="Times New Roman"/>
          <w:bCs/>
          <w:i/>
          <w:szCs w:val="28"/>
        </w:rPr>
        <w:lastRenderedPageBreak/>
        <w:t xml:space="preserve">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B4253D">
      <w:pPr>
        <w:spacing w:before="120" w:after="0" w:line="300" w:lineRule="exact"/>
        <w:jc w:val="both"/>
        <w:rPr>
          <w:rFonts w:cs="Times New Roman"/>
          <w:b/>
          <w:bCs/>
          <w:i/>
          <w:szCs w:val="28"/>
        </w:rPr>
      </w:pPr>
      <w:r w:rsidRPr="00154D74">
        <w:rPr>
          <w:rFonts w:cs="Times New Roman"/>
          <w:b/>
          <w:bCs/>
          <w:i/>
          <w:szCs w:val="28"/>
        </w:rPr>
        <w:t>Справочно:</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w:t>
      </w:r>
      <w:r w:rsidR="00B4253D" w:rsidRPr="00C23932">
        <w:rPr>
          <w:rFonts w:cs="Times New Roman"/>
          <w:bCs/>
          <w:sz w:val="30"/>
          <w:szCs w:val="30"/>
        </w:rPr>
        <w:lastRenderedPageBreak/>
        <w:t xml:space="preserve">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C01AE5" w:rsidRDefault="00B4253D" w:rsidP="002A7A07">
      <w:pPr>
        <w:spacing w:before="120" w:after="0" w:line="300" w:lineRule="exact"/>
        <w:jc w:val="both"/>
        <w:rPr>
          <w:rFonts w:cs="Times New Roman"/>
          <w:b/>
          <w:bCs/>
          <w:i/>
          <w:szCs w:val="28"/>
        </w:rPr>
      </w:pPr>
      <w:r w:rsidRPr="00C01AE5">
        <w:rPr>
          <w:rFonts w:cs="Times New Roman"/>
          <w:b/>
          <w:bCs/>
          <w:i/>
          <w:szCs w:val="28"/>
        </w:rPr>
        <w:t>Справочно:</w:t>
      </w:r>
    </w:p>
    <w:p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555D82">
      <w:pPr>
        <w:spacing w:before="120" w:after="0" w:line="300" w:lineRule="exact"/>
        <w:jc w:val="both"/>
        <w:rPr>
          <w:rFonts w:cs="Times New Roman"/>
          <w:b/>
          <w:bCs/>
          <w:i/>
          <w:szCs w:val="28"/>
        </w:rPr>
      </w:pPr>
      <w:r w:rsidRPr="009369B0">
        <w:rPr>
          <w:rFonts w:cs="Times New Roman"/>
          <w:b/>
          <w:bCs/>
          <w:i/>
          <w:szCs w:val="28"/>
        </w:rPr>
        <w:t>Справочно:</w:t>
      </w:r>
    </w:p>
    <w:p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867FAA">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2A7A07">
      <w:pPr>
        <w:spacing w:after="0" w:line="240" w:lineRule="auto"/>
        <w:ind w:firstLine="709"/>
        <w:jc w:val="both"/>
        <w:rPr>
          <w:rFonts w:cs="Times New Roman"/>
          <w:b/>
          <w:sz w:val="30"/>
          <w:szCs w:val="30"/>
        </w:rPr>
      </w:pPr>
    </w:p>
    <w:p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AF4B83">
      <w:pPr>
        <w:spacing w:before="120" w:after="0" w:line="280" w:lineRule="exact"/>
        <w:jc w:val="both"/>
        <w:rPr>
          <w:rFonts w:cs="Times New Roman"/>
          <w:b/>
          <w:bCs/>
          <w:i/>
          <w:szCs w:val="28"/>
        </w:rPr>
      </w:pPr>
      <w:r w:rsidRPr="00A236CD">
        <w:rPr>
          <w:rFonts w:cs="Times New Roman"/>
          <w:b/>
          <w:bCs/>
          <w:i/>
          <w:szCs w:val="28"/>
        </w:rPr>
        <w:t>Справочно:</w:t>
      </w:r>
    </w:p>
    <w:p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lastRenderedPageBreak/>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1"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1"/>
      <w:r>
        <w:rPr>
          <w:rFonts w:eastAsia="Calibri" w:cs="Times New Roman"/>
          <w:bCs/>
          <w:sz w:val="30"/>
          <w:szCs w:val="30"/>
        </w:rPr>
        <w:t>;</w:t>
      </w:r>
    </w:p>
    <w:p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E08B8" w:rsidRPr="004205AF" w:rsidRDefault="004205AF" w:rsidP="00377CE3">
      <w:pPr>
        <w:spacing w:before="120" w:after="0" w:line="300" w:lineRule="exact"/>
        <w:jc w:val="both"/>
        <w:rPr>
          <w:rFonts w:eastAsia="Calibri" w:cs="Times New Roman"/>
          <w:b/>
          <w:i/>
          <w:szCs w:val="28"/>
        </w:rPr>
      </w:pPr>
      <w:r w:rsidRPr="004205AF">
        <w:rPr>
          <w:rFonts w:eastAsia="Calibri" w:cs="Times New Roman"/>
          <w:b/>
          <w:i/>
          <w:szCs w:val="28"/>
        </w:rPr>
        <w:t>Справочно:</w:t>
      </w:r>
    </w:p>
    <w:p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555D82" w:rsidRPr="00555D82" w:rsidRDefault="00555D82" w:rsidP="000C45F0">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lastRenderedPageBreak/>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0C45F0">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w:t>
      </w:r>
      <w:r w:rsidRPr="00BE72F1">
        <w:rPr>
          <w:rFonts w:cs="Times New Roman"/>
          <w:bCs/>
          <w:iCs/>
          <w:sz w:val="30"/>
          <w:szCs w:val="30"/>
        </w:rPr>
        <w:lastRenderedPageBreak/>
        <w:t xml:space="preserve">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2787C" w:rsidRDefault="00FE08B8" w:rsidP="00AD2D31">
      <w:pPr>
        <w:spacing w:before="120" w:after="0" w:line="300" w:lineRule="exact"/>
        <w:jc w:val="both"/>
        <w:rPr>
          <w:rFonts w:cs="Times New Roman"/>
          <w:b/>
          <w:bCs/>
          <w:i/>
          <w:szCs w:val="28"/>
        </w:rPr>
      </w:pPr>
      <w:r w:rsidRPr="00D2787C">
        <w:rPr>
          <w:rFonts w:cs="Times New Roman"/>
          <w:b/>
          <w:bCs/>
          <w:i/>
          <w:szCs w:val="28"/>
        </w:rPr>
        <w:t>Справочно:</w:t>
      </w:r>
    </w:p>
    <w:p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4F0108" w:rsidRDefault="00FE08B8" w:rsidP="00FE08B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Президент А.Г.Лукашенко</w:t>
      </w:r>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1858E1" w:rsidRDefault="001858E1" w:rsidP="001858E1">
      <w:pPr>
        <w:spacing w:after="0" w:line="240" w:lineRule="auto"/>
        <w:ind w:firstLine="709"/>
        <w:jc w:val="both"/>
        <w:rPr>
          <w:rFonts w:cs="Times New Roman"/>
          <w:b/>
          <w:sz w:val="30"/>
          <w:szCs w:val="30"/>
        </w:rPr>
      </w:pPr>
    </w:p>
    <w:p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7A75E3">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677670" w:rsidRDefault="00677670" w:rsidP="007A75E3">
      <w:pPr>
        <w:spacing w:after="0" w:line="240" w:lineRule="auto"/>
        <w:ind w:firstLine="709"/>
        <w:jc w:val="both"/>
        <w:rPr>
          <w:rFonts w:cs="Times New Roman"/>
          <w:bCs/>
          <w:sz w:val="30"/>
          <w:szCs w:val="30"/>
        </w:rPr>
      </w:pPr>
    </w:p>
    <w:p w:rsidR="00A0337C" w:rsidRPr="002333DF" w:rsidRDefault="00036509" w:rsidP="002333DF">
      <w:pPr>
        <w:spacing w:before="120" w:after="0" w:line="300" w:lineRule="exact"/>
        <w:jc w:val="both"/>
        <w:rPr>
          <w:rFonts w:cs="Times New Roman"/>
          <w:b/>
          <w:bCs/>
          <w:i/>
          <w:szCs w:val="28"/>
        </w:rPr>
      </w:pPr>
      <w:r w:rsidRPr="002333DF">
        <w:rPr>
          <w:rFonts w:cs="Times New Roman"/>
          <w:b/>
          <w:bCs/>
          <w:i/>
          <w:szCs w:val="28"/>
        </w:rPr>
        <w:t>Справочно:</w:t>
      </w:r>
    </w:p>
    <w:p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r w:rsidR="008F1AE5" w:rsidRPr="002333DF">
        <w:rPr>
          <w:rFonts w:cs="Times New Roman"/>
          <w:b/>
          <w:bCs/>
          <w:i/>
          <w:szCs w:val="28"/>
        </w:rPr>
        <w:t xml:space="preserve">души </w:t>
      </w:r>
      <w:r w:rsidR="002E5BF9" w:rsidRPr="002333DF">
        <w:rPr>
          <w:rFonts w:cs="Times New Roman"/>
          <w:b/>
          <w:bCs/>
          <w:i/>
          <w:szCs w:val="28"/>
        </w:rPr>
        <w:t>не только голосовали, но и избирались</w:t>
      </w:r>
      <w:r w:rsidR="002E5BF9"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(ПиС)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r w:rsidRPr="002333DF">
        <w:rPr>
          <w:rFonts w:cs="Times New Roman"/>
          <w:i/>
          <w:szCs w:val="28"/>
        </w:rPr>
        <w:t>ПиС</w:t>
      </w:r>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манипулятивный характер» и по сути являлись «предвыборной листовкой ПиС».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w:t>
      </w:r>
      <w:r w:rsidR="00C82935" w:rsidRPr="002333DF">
        <w:rPr>
          <w:rFonts w:cs="Times New Roman"/>
          <w:i/>
          <w:szCs w:val="28"/>
        </w:rPr>
        <w:t>В итоге явка на референдуме провалилась, а у ПиС оказалось</w:t>
      </w:r>
      <w:r w:rsidR="00C82935" w:rsidRPr="002333DF">
        <w:rPr>
          <w:rFonts w:cs="Times New Roman"/>
          <w:i/>
          <w:iCs/>
          <w:szCs w:val="28"/>
        </w:rPr>
        <w:t xml:space="preserve"> всего 194 депутатских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w:t>
      </w:r>
      <w:r w:rsidR="00132DB6" w:rsidRPr="002333DF">
        <w:rPr>
          <w:rFonts w:cs="Times New Roman"/>
          <w:i/>
          <w:szCs w:val="28"/>
        </w:rPr>
        <w:lastRenderedPageBreak/>
        <w:t xml:space="preserve">(причем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r w:rsidR="00C82935" w:rsidRPr="002333DF">
        <w:rPr>
          <w:rFonts w:cs="Times New Roman"/>
          <w:bCs/>
          <w:i/>
          <w:iCs/>
          <w:szCs w:val="28"/>
        </w:rPr>
        <w:t>П.Х.Понс</w:t>
      </w:r>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677670">
      <w:pPr>
        <w:spacing w:after="0" w:line="240" w:lineRule="auto"/>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241D9D">
      <w:pPr>
        <w:spacing w:before="120" w:after="0" w:line="300" w:lineRule="exact"/>
        <w:jc w:val="both"/>
        <w:rPr>
          <w:rFonts w:eastAsia="Calibri" w:cs="Times New Roman"/>
          <w:b/>
          <w:i/>
          <w:szCs w:val="28"/>
        </w:rPr>
      </w:pPr>
      <w:r w:rsidRPr="004C5A30">
        <w:rPr>
          <w:rFonts w:eastAsia="Calibri" w:cs="Times New Roman"/>
          <w:b/>
          <w:i/>
          <w:szCs w:val="28"/>
        </w:rPr>
        <w:t>Справочно:</w:t>
      </w:r>
    </w:p>
    <w:p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lastRenderedPageBreak/>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членов Совета Республики Национального собрания Республики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41738A" w:rsidP="004C4E31">
      <w:pPr>
        <w:spacing w:after="0" w:line="240" w:lineRule="auto"/>
        <w:ind w:firstLine="709"/>
        <w:jc w:val="both"/>
        <w:rPr>
          <w:rFonts w:cs="Times New Roman"/>
          <w:bCs/>
          <w:i/>
          <w:spacing w:val="-4"/>
          <w:sz w:val="30"/>
          <w:szCs w:val="30"/>
        </w:rPr>
      </w:pPr>
      <w:hyperlink r:id="rId8"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C12063" w:rsidRDefault="007A75E3" w:rsidP="00241D9D">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C12063" w:rsidRPr="004335CF" w:rsidRDefault="00C12063" w:rsidP="009F2195">
      <w:pPr>
        <w:spacing w:after="0" w:line="240" w:lineRule="auto"/>
        <w:ind w:firstLine="709"/>
        <w:jc w:val="both"/>
        <w:rPr>
          <w:b/>
          <w:sz w:val="30"/>
          <w:szCs w:val="30"/>
        </w:rPr>
      </w:pPr>
    </w:p>
    <w:p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7101F5">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w:t>
      </w:r>
      <w:r w:rsidR="007101F5" w:rsidRPr="007101F5">
        <w:rPr>
          <w:b/>
          <w:i/>
          <w:sz w:val="30"/>
          <w:szCs w:val="30"/>
        </w:rPr>
        <w:lastRenderedPageBreak/>
        <w:t xml:space="preserve">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9F219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C93347" w:rsidRPr="007C7563" w:rsidRDefault="00C93347" w:rsidP="00C93347">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C93347" w:rsidRPr="007C7563" w:rsidRDefault="00C93347" w:rsidP="00C9334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C93347" w:rsidRPr="007C7563" w:rsidRDefault="00C93347" w:rsidP="00C9334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C93347" w:rsidRPr="007C7563" w:rsidRDefault="00C93347" w:rsidP="00C93347">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C93347" w:rsidRPr="001D5F0F" w:rsidRDefault="00C93347" w:rsidP="00C93347">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C93347" w:rsidRPr="001D5F0F" w:rsidRDefault="00C93347" w:rsidP="00C93347">
      <w:pPr>
        <w:spacing w:after="0" w:line="240" w:lineRule="auto"/>
        <w:ind w:firstLine="567"/>
        <w:jc w:val="both"/>
        <w:rPr>
          <w:sz w:val="30"/>
          <w:szCs w:val="30"/>
        </w:rPr>
      </w:pPr>
      <w:r w:rsidRPr="001D5F0F">
        <w:rPr>
          <w:sz w:val="30"/>
          <w:szCs w:val="30"/>
        </w:rPr>
        <w:lastRenderedPageBreak/>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Default="00C93347" w:rsidP="00C9334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C93347" w:rsidRPr="007C7563" w:rsidRDefault="00C93347" w:rsidP="00C9334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C93347" w:rsidRPr="001D5F0F" w:rsidRDefault="00C93347" w:rsidP="00C93347">
      <w:pPr>
        <w:spacing w:after="0" w:line="240" w:lineRule="auto"/>
        <w:ind w:firstLine="567"/>
        <w:jc w:val="both"/>
        <w:rPr>
          <w:i/>
          <w:sz w:val="30"/>
          <w:szCs w:val="30"/>
        </w:rPr>
      </w:pPr>
      <w:r w:rsidRPr="001D5F0F">
        <w:rPr>
          <w:i/>
          <w:sz w:val="30"/>
          <w:szCs w:val="30"/>
        </w:rPr>
        <w:t xml:space="preserve">Справочно: Бобруйск – 6 случаев, Бобруйский район – 2, Горецкий – 2, Могилёвский – 3, Чаусский – 2, Круглянский – 1, Чериковский – 1, </w:t>
      </w:r>
      <w:r w:rsidRPr="001D5F0F">
        <w:rPr>
          <w:i/>
          <w:sz w:val="30"/>
          <w:szCs w:val="30"/>
        </w:rPr>
        <w:lastRenderedPageBreak/>
        <w:t>Костюковичский – 1, Краснопольский – 1, Осиповичский – 1, Хотимский – 1, Кличевский – 1, Могилёв – 1, Белыничи – 1.</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1D5F0F" w:rsidRDefault="00C93347" w:rsidP="00C9334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1D5F0F" w:rsidRDefault="00C93347" w:rsidP="00C9334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w:t>
      </w:r>
      <w:r w:rsidRPr="001D5F0F">
        <w:rPr>
          <w:rFonts w:eastAsia="Calibri"/>
          <w:i/>
          <w:sz w:val="30"/>
          <w:szCs w:val="30"/>
        </w:rPr>
        <w:lastRenderedPageBreak/>
        <w:t xml:space="preserve">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C93347" w:rsidRPr="007C7563" w:rsidRDefault="00C93347" w:rsidP="00C93347">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C93347" w:rsidRPr="007C7563" w:rsidRDefault="00C93347" w:rsidP="00C93347">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7C7563" w:rsidRDefault="00C93347" w:rsidP="00C93347">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7C7563" w:rsidRDefault="00C93347" w:rsidP="00C93347">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7C7563" w:rsidRDefault="00C93347" w:rsidP="00C93347">
      <w:pPr>
        <w:spacing w:after="0" w:line="240" w:lineRule="auto"/>
        <w:ind w:firstLine="567"/>
        <w:jc w:val="both"/>
        <w:rPr>
          <w:sz w:val="30"/>
          <w:szCs w:val="30"/>
        </w:rPr>
      </w:pPr>
      <w:r w:rsidRPr="007C7563">
        <w:rPr>
          <w:sz w:val="30"/>
          <w:szCs w:val="30"/>
        </w:rPr>
        <w:t xml:space="preserve">Да, это звучит трудно, но поверьте, эти инвестиции помогут в будущем защитить ребенка от беды. Ведь, доверительные отношения– </w:t>
      </w:r>
      <w:r w:rsidRPr="007C7563">
        <w:rPr>
          <w:sz w:val="30"/>
          <w:szCs w:val="30"/>
        </w:rPr>
        <w:lastRenderedPageBreak/>
        <w:t>это мост, по которому в сложной ситуации ребенок вернется за советом ко взрослому.</w:t>
      </w:r>
    </w:p>
    <w:p w:rsidR="00C93347" w:rsidRPr="007C7563" w:rsidRDefault="00C93347" w:rsidP="00C9334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C93347" w:rsidRPr="007C7563"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C93347" w:rsidRDefault="00C93347" w:rsidP="00C9334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C93347" w:rsidRPr="007C7563" w:rsidRDefault="00C93347" w:rsidP="00C93347">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w:t>
      </w:r>
      <w:r w:rsidRPr="00951CF3">
        <w:rPr>
          <w:i/>
          <w:sz w:val="30"/>
          <w:szCs w:val="30"/>
        </w:rPr>
        <w:lastRenderedPageBreak/>
        <w:t xml:space="preserve">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951CF3" w:rsidRDefault="00C93347" w:rsidP="00C93347">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951CF3" w:rsidRDefault="00C93347" w:rsidP="00C9334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7C7563" w:rsidRDefault="00C93347" w:rsidP="00C93347">
      <w:pPr>
        <w:shd w:val="clear" w:color="auto" w:fill="FFFFFF"/>
        <w:spacing w:after="0" w:line="240" w:lineRule="auto"/>
        <w:ind w:firstLine="567"/>
        <w:jc w:val="both"/>
        <w:rPr>
          <w:bCs/>
          <w:color w:val="000000"/>
          <w:sz w:val="30"/>
          <w:szCs w:val="30"/>
        </w:rPr>
      </w:pPr>
      <w:r w:rsidRPr="007C7563">
        <w:rPr>
          <w:rStyle w:val="ae"/>
          <w:b/>
          <w:sz w:val="30"/>
          <w:szCs w:val="30"/>
        </w:rPr>
        <w:lastRenderedPageBreak/>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rsidR="00C93347" w:rsidRPr="007C7563" w:rsidRDefault="00C93347" w:rsidP="00C93347">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Default="00C93347" w:rsidP="00C9334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C93347" w:rsidRPr="007C7563" w:rsidRDefault="00C93347" w:rsidP="00C93347">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C93347" w:rsidRPr="00951CF3" w:rsidRDefault="00C93347" w:rsidP="00C9334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951CF3" w:rsidRDefault="00C93347" w:rsidP="00C9334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w:t>
      </w:r>
      <w:r w:rsidRPr="00951CF3">
        <w:rPr>
          <w:i/>
          <w:sz w:val="30"/>
          <w:szCs w:val="30"/>
          <w:shd w:val="clear" w:color="auto" w:fill="FFFFFF"/>
        </w:rPr>
        <w:lastRenderedPageBreak/>
        <w:t xml:space="preserve">летний хозяин. В возникновении и этого пожара прослеживается сигаретный след. </w:t>
      </w:r>
    </w:p>
    <w:p w:rsidR="00C93347" w:rsidRDefault="00C93347" w:rsidP="0085516B">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C93347" w:rsidRPr="007C7563" w:rsidRDefault="00C93347" w:rsidP="00C9334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3158A1" w:rsidRDefault="00C93347" w:rsidP="00C9334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накануне бобруйчанка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3158A1" w:rsidRDefault="00C93347" w:rsidP="00C93347">
      <w:pPr>
        <w:pStyle w:val="a8"/>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C93347" w:rsidRPr="007C7563" w:rsidRDefault="00C93347" w:rsidP="00C93347">
      <w:pPr>
        <w:spacing w:after="0" w:line="240" w:lineRule="auto"/>
        <w:ind w:firstLine="567"/>
        <w:jc w:val="both"/>
        <w:rPr>
          <w:b/>
          <w:sz w:val="30"/>
          <w:szCs w:val="30"/>
        </w:rPr>
      </w:pPr>
      <w:r w:rsidRPr="007C7563">
        <w:rPr>
          <w:b/>
          <w:bCs/>
          <w:sz w:val="30"/>
          <w:szCs w:val="30"/>
        </w:rPr>
        <w:t>Во избежание печных ЧС:</w:t>
      </w:r>
    </w:p>
    <w:p w:rsidR="00C93347" w:rsidRPr="007C7563"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C93347" w:rsidRPr="007C7563" w:rsidRDefault="00C93347" w:rsidP="00C93347">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C93347" w:rsidRPr="007C7563" w:rsidRDefault="00C93347" w:rsidP="00C9334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C93347" w:rsidRPr="007C7563" w:rsidRDefault="00C93347" w:rsidP="00C9334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C93347" w:rsidRDefault="00C93347" w:rsidP="00C9334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C93347" w:rsidRPr="007C7563" w:rsidRDefault="00C93347" w:rsidP="00C93347">
      <w:pPr>
        <w:spacing w:after="0" w:line="240" w:lineRule="auto"/>
        <w:ind w:firstLine="567"/>
        <w:jc w:val="both"/>
        <w:rPr>
          <w:sz w:val="30"/>
          <w:szCs w:val="30"/>
        </w:rPr>
      </w:pPr>
      <w:r w:rsidRPr="007C7563">
        <w:rPr>
          <w:sz w:val="30"/>
          <w:szCs w:val="30"/>
        </w:rPr>
        <w:lastRenderedPageBreak/>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C93347" w:rsidRPr="007C7563" w:rsidRDefault="00C93347" w:rsidP="00C9334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C93347" w:rsidRPr="007C7563" w:rsidRDefault="00C93347" w:rsidP="00C93347">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7C7563" w:rsidRDefault="00C93347" w:rsidP="00C9334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Не уходите в другую комнату, пока огни не погаснут, а потом опустите их в емкость с водой. </w:t>
      </w:r>
    </w:p>
    <w:p w:rsidR="00C93347" w:rsidRPr="007C7563" w:rsidRDefault="00C93347" w:rsidP="00C9334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7C7563" w:rsidRDefault="00C93347" w:rsidP="00C9334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7C7563" w:rsidRDefault="00C93347" w:rsidP="00C9334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3158A1" w:rsidRDefault="00C93347" w:rsidP="00C93347">
      <w:pPr>
        <w:spacing w:after="0" w:line="240" w:lineRule="auto"/>
        <w:ind w:firstLine="567"/>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C93347" w:rsidRDefault="00C9334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974658" w:rsidRPr="00974658" w:rsidRDefault="00974658" w:rsidP="00974658">
      <w:pPr>
        <w:spacing w:after="0" w:line="240" w:lineRule="auto"/>
        <w:ind w:firstLine="567"/>
        <w:jc w:val="center"/>
        <w:rPr>
          <w:rFonts w:cs="Times New Roman"/>
          <w:b/>
          <w:bCs/>
          <w:sz w:val="30"/>
          <w:szCs w:val="30"/>
        </w:rPr>
      </w:pPr>
      <w:r w:rsidRPr="00974658">
        <w:rPr>
          <w:rFonts w:cs="Times New Roman"/>
          <w:b/>
          <w:bCs/>
          <w:sz w:val="30"/>
          <w:szCs w:val="30"/>
        </w:rPr>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rsidR="00974658" w:rsidRDefault="00974658" w:rsidP="00974658">
      <w:pPr>
        <w:spacing w:after="0" w:line="240" w:lineRule="auto"/>
        <w:ind w:firstLine="567"/>
        <w:jc w:val="center"/>
        <w:rPr>
          <w:rFonts w:cs="Times New Roman"/>
          <w:sz w:val="20"/>
          <w:szCs w:val="20"/>
        </w:rPr>
      </w:pPr>
    </w:p>
    <w:p w:rsidR="00974658" w:rsidRPr="00974658" w:rsidRDefault="00974658" w:rsidP="00974658">
      <w:pPr>
        <w:spacing w:after="0" w:line="240" w:lineRule="auto"/>
        <w:ind w:firstLine="567"/>
        <w:jc w:val="center"/>
        <w:rPr>
          <w:sz w:val="20"/>
          <w:szCs w:val="20"/>
        </w:rPr>
      </w:pP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lastRenderedPageBreak/>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9">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11">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w:t>
      </w:r>
      <w:r w:rsidRPr="00DA3C54">
        <w:rPr>
          <w:rFonts w:cs="Times New Roman"/>
          <w:sz w:val="30"/>
          <w:szCs w:val="30"/>
        </w:rPr>
        <w:lastRenderedPageBreak/>
        <w:t>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w:t>
      </w:r>
      <w:r w:rsidRPr="00DA3C54">
        <w:rPr>
          <w:rFonts w:cs="Times New Roman"/>
          <w:sz w:val="30"/>
          <w:szCs w:val="30"/>
        </w:rPr>
        <w:lastRenderedPageBreak/>
        <w:t>отсрочка в погашении задолженности по кредиту (включая проценты за пользование кредитом).</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974658">
      <w:pPr>
        <w:pStyle w:val="af"/>
        <w:ind w:firstLine="567"/>
        <w:rPr>
          <w:sz w:val="30"/>
          <w:szCs w:val="30"/>
        </w:rPr>
      </w:pPr>
      <w:r w:rsidRPr="00DA3C54">
        <w:rPr>
          <w:sz w:val="30"/>
          <w:szCs w:val="30"/>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w:t>
      </w:r>
      <w:r w:rsidRPr="00DA3C54">
        <w:rPr>
          <w:color w:val="000000"/>
          <w:sz w:val="30"/>
          <w:szCs w:val="30"/>
        </w:rPr>
        <w:lastRenderedPageBreak/>
        <w:t>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85516B" w:rsidRDefault="00974658" w:rsidP="00376B8C">
      <w:pPr>
        <w:spacing w:after="0" w:line="240" w:lineRule="auto"/>
        <w:ind w:firstLine="567"/>
        <w:jc w:val="both"/>
        <w:rPr>
          <w:sz w:val="30"/>
          <w:szCs w:val="30"/>
        </w:rPr>
      </w:pPr>
      <w:r w:rsidRPr="00DA3C54">
        <w:rPr>
          <w:rFonts w:cs="Times New Roman"/>
          <w:sz w:val="30"/>
          <w:szCs w:val="30"/>
        </w:rPr>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sectPr w:rsidR="0085516B" w:rsidSect="008D6350">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1C" w:rsidRDefault="0093101C" w:rsidP="008D6350">
      <w:pPr>
        <w:spacing w:after="0" w:line="240" w:lineRule="auto"/>
      </w:pPr>
      <w:r>
        <w:separator/>
      </w:r>
    </w:p>
  </w:endnote>
  <w:endnote w:type="continuationSeparator" w:id="0">
    <w:p w:rsidR="0093101C" w:rsidRDefault="0093101C"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1C" w:rsidRDefault="0093101C" w:rsidP="008D6350">
      <w:pPr>
        <w:spacing w:after="0" w:line="240" w:lineRule="auto"/>
      </w:pPr>
      <w:r>
        <w:separator/>
      </w:r>
    </w:p>
  </w:footnote>
  <w:footnote w:type="continuationSeparator" w:id="0">
    <w:p w:rsidR="0093101C" w:rsidRDefault="0093101C"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41738A">
        <w:pPr>
          <w:pStyle w:val="a3"/>
          <w:jc w:val="center"/>
        </w:pPr>
        <w:r>
          <w:fldChar w:fldCharType="begin"/>
        </w:r>
        <w:r w:rsidR="00974658">
          <w:instrText>PAGE   \* MERGEFORMAT</w:instrText>
        </w:r>
        <w:r>
          <w:fldChar w:fldCharType="separate"/>
        </w:r>
        <w:r w:rsidR="00FB30D1">
          <w:rPr>
            <w:noProof/>
          </w:rPr>
          <w:t>3</w:t>
        </w:r>
        <w:r>
          <w:fldChar w:fldCharType="end"/>
        </w:r>
      </w:p>
    </w:sdtContent>
  </w:sdt>
  <w:p w:rsidR="00974658" w:rsidRDefault="009746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33468"/>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6B8C"/>
    <w:rsid w:val="00377CE3"/>
    <w:rsid w:val="00385B0F"/>
    <w:rsid w:val="00396087"/>
    <w:rsid w:val="003A1AF8"/>
    <w:rsid w:val="003A6F61"/>
    <w:rsid w:val="003A7A9A"/>
    <w:rsid w:val="003B2513"/>
    <w:rsid w:val="003B2783"/>
    <w:rsid w:val="003B531D"/>
    <w:rsid w:val="003C30AC"/>
    <w:rsid w:val="003D36EF"/>
    <w:rsid w:val="003E321D"/>
    <w:rsid w:val="003E6851"/>
    <w:rsid w:val="00412C77"/>
    <w:rsid w:val="00415DF5"/>
    <w:rsid w:val="0041738A"/>
    <w:rsid w:val="004205AF"/>
    <w:rsid w:val="00420E47"/>
    <w:rsid w:val="00423991"/>
    <w:rsid w:val="004335CF"/>
    <w:rsid w:val="0043363C"/>
    <w:rsid w:val="00442448"/>
    <w:rsid w:val="00485CF4"/>
    <w:rsid w:val="00492877"/>
    <w:rsid w:val="004938A1"/>
    <w:rsid w:val="0049767E"/>
    <w:rsid w:val="004C2EEA"/>
    <w:rsid w:val="004C4390"/>
    <w:rsid w:val="004C4E31"/>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101C"/>
    <w:rsid w:val="009369B0"/>
    <w:rsid w:val="00944D12"/>
    <w:rsid w:val="00974658"/>
    <w:rsid w:val="009809E0"/>
    <w:rsid w:val="009818A2"/>
    <w:rsid w:val="009A167B"/>
    <w:rsid w:val="009A6E7F"/>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1808"/>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04630"/>
    <w:rsid w:val="00E25E56"/>
    <w:rsid w:val="00E437C7"/>
    <w:rsid w:val="00E44FB3"/>
    <w:rsid w:val="00E639F5"/>
    <w:rsid w:val="00E65144"/>
    <w:rsid w:val="00E71096"/>
    <w:rsid w:val="00E73C17"/>
    <w:rsid w:val="00E77715"/>
    <w:rsid w:val="00E85854"/>
    <w:rsid w:val="00E961BF"/>
    <w:rsid w:val="00EA3ED1"/>
    <w:rsid w:val="00EB1D59"/>
    <w:rsid w:val="00EC404E"/>
    <w:rsid w:val="00EC70AA"/>
    <w:rsid w:val="00EE2800"/>
    <w:rsid w:val="00F012A5"/>
    <w:rsid w:val="00F03264"/>
    <w:rsid w:val="00F03591"/>
    <w:rsid w:val="00F060A6"/>
    <w:rsid w:val="00F43DD2"/>
    <w:rsid w:val="00F478E7"/>
    <w:rsid w:val="00F50961"/>
    <w:rsid w:val="00F50BE7"/>
    <w:rsid w:val="00F676BE"/>
    <w:rsid w:val="00F7023F"/>
    <w:rsid w:val="00F7389A"/>
    <w:rsid w:val="00F74C4C"/>
    <w:rsid w:val="00F8595B"/>
    <w:rsid w:val="00FA20DF"/>
    <w:rsid w:val="00FA2C0E"/>
    <w:rsid w:val="00FB30D1"/>
    <w:rsid w:val="00FB3B7B"/>
    <w:rsid w:val="00FB616C"/>
    <w:rsid w:val="00FC64FC"/>
    <w:rsid w:val="00FE08B8"/>
    <w:rsid w:val="00FE5DB9"/>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webSettings" Target="web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37</Pages>
  <Words>12079</Words>
  <Characters>68852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Melnikova_TV</cp:lastModifiedBy>
  <cp:revision>20</cp:revision>
  <cp:lastPrinted>2023-12-08T06:56:00Z</cp:lastPrinted>
  <dcterms:created xsi:type="dcterms:W3CDTF">2023-12-08T05:29:00Z</dcterms:created>
  <dcterms:modified xsi:type="dcterms:W3CDTF">2023-12-18T08:31:00Z</dcterms:modified>
</cp:coreProperties>
</file>