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B014" w14:textId="289B1114" w:rsidR="00BA572E" w:rsidRDefault="003811FD" w:rsidP="00245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Комментарий</w:t>
      </w:r>
      <w:r w:rsidR="00FD4F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МНС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Закону Республики Беларусь от 3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="00354799" w:rsidRPr="003547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части исчисления и уплаты</w:t>
      </w:r>
      <w:r w:rsidR="003547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354799" w:rsidRPr="003547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налога на игорный бизнес</w:t>
      </w:r>
      <w:r w:rsidR="00F452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BA572E"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D78E687" w14:textId="050F8275" w:rsidR="003811FD" w:rsidRPr="00730221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B5AFAAC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 xml:space="preserve">С 1 января 2023 года вводится новый объект налогообложения налогом на игорный бизнес – игровой доход, и одновременно из числа объектов налогообложения налогом на игорный бизнес исключается положительная разница между суммой принятых ставок в азартных играх и суммой выплаченных выигрышей (возвращенных </w:t>
      </w:r>
      <w:proofErr w:type="spellStart"/>
      <w:r w:rsidRPr="00354799">
        <w:rPr>
          <w:rFonts w:ascii="Times New Roman" w:hAnsi="Times New Roman" w:cs="Times New Roman"/>
          <w:sz w:val="30"/>
          <w:szCs w:val="30"/>
        </w:rPr>
        <w:t>несыгравших</w:t>
      </w:r>
      <w:proofErr w:type="spellEnd"/>
      <w:r w:rsidRPr="00354799">
        <w:rPr>
          <w:rFonts w:ascii="Times New Roman" w:hAnsi="Times New Roman" w:cs="Times New Roman"/>
          <w:sz w:val="30"/>
          <w:szCs w:val="30"/>
        </w:rPr>
        <w:t xml:space="preserve"> ставок) (абзац шестой пункта 1 статьи 356 Налогового кодекса Республики Беларусь (далее – НК)).</w:t>
      </w:r>
    </w:p>
    <w:p w14:paraId="3C4F5088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Под игровым доходом для деятельности по содержанию виртуального игорного заведения будет пониматься положительная разница между общей суммой денежных средств (электронных денег), переданных (перечисленных, переведенных) организатору азартных игр для участия в азартной игре, а также за предоставление иным лицам возможности организации и (или) проведения азартных игр посредством использования технических решений виртуального игорного заведения, и общей суммой выплаченных (перечисленных, переведенных) организатором азартных игр денежных средств (электронных денег) участникам азартных игр в качестве выигрыша (абзац третий части второй пункта 1 статьи 356 НК).</w:t>
      </w:r>
    </w:p>
    <w:p w14:paraId="49D14626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Согласно части второй пункта 4 статьи 357 НК налоговая база налога на игорный бизнес по игровому доходу в отношении деятельности в сфере игорного бизнеса по содержанию виртуального игорного заведения будет определяться отдельно как денежное выражение образующейся в течение налогового периода:</w:t>
      </w:r>
    </w:p>
    <w:p w14:paraId="7C7D0A59" w14:textId="2B058575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 xml:space="preserve">положительной разницы между суммой принятых ставок в азартных играх и суммой выплаченных выигрышей (возвращенных </w:t>
      </w:r>
      <w:proofErr w:type="spellStart"/>
      <w:r w:rsidRPr="00354799">
        <w:rPr>
          <w:rFonts w:ascii="Times New Roman" w:hAnsi="Times New Roman" w:cs="Times New Roman"/>
          <w:sz w:val="30"/>
          <w:szCs w:val="30"/>
        </w:rPr>
        <w:t>несыгравших</w:t>
      </w:r>
      <w:proofErr w:type="spellEnd"/>
      <w:r w:rsidRPr="00354799">
        <w:rPr>
          <w:rFonts w:ascii="Times New Roman" w:hAnsi="Times New Roman" w:cs="Times New Roman"/>
          <w:sz w:val="30"/>
          <w:szCs w:val="30"/>
        </w:rPr>
        <w:t xml:space="preserve"> ставок);</w:t>
      </w:r>
    </w:p>
    <w:p w14:paraId="640303C6" w14:textId="0C1C5551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>суммы дохода, полученного организатором азартных игр за предоставление иным лицам возможности организации и (или) проведения азартных игр посредством использования технических решений виртуального игорного заведения.</w:t>
      </w:r>
    </w:p>
    <w:p w14:paraId="62B49E1E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 xml:space="preserve">Поскольку деятельность в сфере игорного бизнеса по содержанию виртуального игорного заведения независима от «наземных» видов деятельности в сфере игорного бизнеса (содержание казино, зала игровых автоматов, букмекерской конторы, тотализатора) и может осуществляться без наличия стационарных игорных заведений, налог на игорный бизнес с игрового дохода для деятельности в сфере игорного бизнеса по содержанию виртуального игорного заведения будет исчисляться без учета сумм налога на игорный бизнес в фиксированных суммах, уплачиваемого </w:t>
      </w:r>
      <w:r w:rsidRPr="00354799">
        <w:rPr>
          <w:rFonts w:ascii="Times New Roman" w:hAnsi="Times New Roman" w:cs="Times New Roman"/>
          <w:sz w:val="30"/>
          <w:szCs w:val="30"/>
        </w:rPr>
        <w:lastRenderedPageBreak/>
        <w:t>за игровые столы, игровые автоматы, кассы букмекерских контор и кассы тотализаторов.</w:t>
      </w:r>
    </w:p>
    <w:p w14:paraId="4622C0E9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Также в целях выравнивания уровня налоговой нагрузки при осуществлении деятельности в сфере игорного бизнеса по содержанию виртуального игорного заведения и по содержанию казино, зала игровых автоматов, букмекерской конторы и тотализаторов для деятельности в сфере игорного бизнеса по содержанию виртуального игорного заведения частью шестой пункта 1 статьи 358 НК устанавливается ставка налога на игорный бизнес по игровому доходу в размере 8%.</w:t>
      </w:r>
    </w:p>
    <w:p w14:paraId="3E4F8695" w14:textId="77777777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4799">
        <w:rPr>
          <w:rFonts w:ascii="Times New Roman" w:hAnsi="Times New Roman" w:cs="Times New Roman"/>
          <w:sz w:val="30"/>
          <w:szCs w:val="30"/>
        </w:rPr>
        <w:t>В соответствии с произошедшими корректировками статей 356 - 358 НК подходы к налогообложению деятельности в сфере игорного бизнеса по содержанию казино, зала игровых автоматов, букмекерской конторы и тотализатора в 2023 г. не изменятся. Так, как и ранее:</w:t>
      </w:r>
    </w:p>
    <w:p w14:paraId="0BEAD71A" w14:textId="72E9AF61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354799">
        <w:rPr>
          <w:rFonts w:ascii="Times New Roman" w:hAnsi="Times New Roman" w:cs="Times New Roman"/>
          <w:sz w:val="30"/>
          <w:szCs w:val="30"/>
        </w:rPr>
        <w:t>объектами налогообложения налогом на игорный бизнес для этих видов деятельности будет являться игровой стол, игровой автомат, касса тотализатора, касса букмекерской конторы, а также игровой доход;</w:t>
      </w:r>
    </w:p>
    <w:p w14:paraId="4B4AB32C" w14:textId="56FA5CA6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 xml:space="preserve">налоговая база в отношении игрового дохода применительно к этим видам деятельности будет определяться как денежное выражение образующейся в течение налогового периода положительной разницы между суммой принятых ставок в азартных играх и суммой выплаченных выигрышей (возвращенных </w:t>
      </w:r>
      <w:proofErr w:type="spellStart"/>
      <w:r w:rsidRPr="00354799">
        <w:rPr>
          <w:rFonts w:ascii="Times New Roman" w:hAnsi="Times New Roman" w:cs="Times New Roman"/>
          <w:sz w:val="30"/>
          <w:szCs w:val="30"/>
        </w:rPr>
        <w:t>несыгравших</w:t>
      </w:r>
      <w:proofErr w:type="spellEnd"/>
      <w:r w:rsidRPr="00354799">
        <w:rPr>
          <w:rFonts w:ascii="Times New Roman" w:hAnsi="Times New Roman" w:cs="Times New Roman"/>
          <w:sz w:val="30"/>
          <w:szCs w:val="30"/>
        </w:rPr>
        <w:t xml:space="preserve"> ставок), уменьшенное на сумму налога на игорный бизнес, исчисленную за налоговый период по всем иным объектам налогообложения налогом на игорный бизнес (игровой стол, игровой автомат, касса букмекерской конторы, касса тотализатора);</w:t>
      </w:r>
    </w:p>
    <w:p w14:paraId="0BC877B4" w14:textId="556590AC" w:rsidR="00354799" w:rsidRPr="00354799" w:rsidRDefault="00354799" w:rsidP="0035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99">
        <w:rPr>
          <w:rFonts w:ascii="Times New Roman" w:hAnsi="Times New Roman" w:cs="Times New Roman"/>
          <w:sz w:val="30"/>
          <w:szCs w:val="30"/>
        </w:rPr>
        <w:t>ставка налога на игорный бизнес в отношении игрового дохода для этих видов деятельности установлена в размере 4 %.</w:t>
      </w:r>
    </w:p>
    <w:p w14:paraId="5861B4E3" w14:textId="77777777" w:rsidR="00354799" w:rsidRPr="00354799" w:rsidRDefault="00354799" w:rsidP="00A340C1">
      <w:pPr>
        <w:pStyle w:val="ae"/>
        <w:spacing w:before="0" w:beforeAutospacing="0" w:after="225" w:afterAutospacing="0"/>
        <w:jc w:val="right"/>
        <w:rPr>
          <w:rFonts w:eastAsiaTheme="minorHAnsi"/>
          <w:sz w:val="30"/>
          <w:szCs w:val="30"/>
          <w:lang w:eastAsia="en-US"/>
        </w:rPr>
      </w:pPr>
    </w:p>
    <w:sectPr w:rsidR="00354799" w:rsidRPr="00354799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DA60" w14:textId="77777777" w:rsidR="002D1DE3" w:rsidRDefault="002D1DE3" w:rsidP="003E6FB6">
      <w:pPr>
        <w:spacing w:after="0" w:line="240" w:lineRule="auto"/>
      </w:pPr>
      <w:r>
        <w:separator/>
      </w:r>
    </w:p>
  </w:endnote>
  <w:endnote w:type="continuationSeparator" w:id="0">
    <w:p w14:paraId="0178CE8A" w14:textId="77777777" w:rsidR="002D1DE3" w:rsidRDefault="002D1DE3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D999" w14:textId="77777777" w:rsidR="002D1DE3" w:rsidRDefault="002D1DE3" w:rsidP="003E6FB6">
      <w:pPr>
        <w:spacing w:after="0" w:line="240" w:lineRule="auto"/>
      </w:pPr>
      <w:r>
        <w:separator/>
      </w:r>
    </w:p>
  </w:footnote>
  <w:footnote w:type="continuationSeparator" w:id="0">
    <w:p w14:paraId="31B58DDF" w14:textId="77777777" w:rsidR="002D1DE3" w:rsidRDefault="002D1DE3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090B59"/>
    <w:multiLevelType w:val="multilevel"/>
    <w:tmpl w:val="ECBE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35863"/>
    <w:multiLevelType w:val="multilevel"/>
    <w:tmpl w:val="4B8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9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DE3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799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096B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EA4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0952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D4F2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44</cp:revision>
  <cp:lastPrinted>2023-01-06T11:26:00Z</cp:lastPrinted>
  <dcterms:created xsi:type="dcterms:W3CDTF">2021-06-16T07:37:00Z</dcterms:created>
  <dcterms:modified xsi:type="dcterms:W3CDTF">2023-01-10T13:12:00Z</dcterms:modified>
</cp:coreProperties>
</file>