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56" w:rsidRDefault="00966156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районного бюджета за 11 месяцев 2019 года</w:t>
      </w:r>
    </w:p>
    <w:p w:rsidR="00C81DF5" w:rsidRPr="00714B32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57F76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714B32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="00AF7C68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AF7C68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714B32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26 915,2</w:t>
      </w:r>
      <w:r w:rsidR="00B55E8B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714B32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88,0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415"/>
        <w:gridCol w:w="1560"/>
        <w:gridCol w:w="2550"/>
      </w:tblGrid>
      <w:tr w:rsidR="00714B32" w:rsidRPr="00714B3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AF7C68" w:rsidP="00714B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007DA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4B32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  <w:r w:rsidR="00C81DF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714B32" w:rsidRPr="00714B3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6 625,2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  <w:r w:rsidR="00C81DF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</w:t>
            </w:r>
            <w:r w:rsidR="00E81F87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A90B12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14B32" w:rsidRDefault="00714B32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1 065,0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A90B12" w:rsidP="00714B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714B32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  <w:r w:rsidR="00E81F87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A90B12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14B32" w:rsidRDefault="00714B32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19 225,0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71,4</w:t>
            </w:r>
            <w:r w:rsidR="00C81DF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  <w:r w:rsidR="00C81DF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A90B12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26 915,2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14B32" w:rsidRDefault="00714B32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88,0</w:t>
            </w:r>
            <w:r w:rsidR="00C81DF5"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91141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9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</w:t>
      </w:r>
      <w:r w:rsidR="006D3F81" w:rsidRPr="00D9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9114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D91141" w:rsidRPr="00D91141">
        <w:rPr>
          <w:rFonts w:ascii="Times New Roman" w:eastAsia="Times New Roman" w:hAnsi="Times New Roman" w:cs="Times New Roman"/>
          <w:sz w:val="30"/>
          <w:szCs w:val="30"/>
          <w:lang w:eastAsia="ru-RU"/>
        </w:rPr>
        <w:t>60,1</w:t>
      </w:r>
      <w:r w:rsidRPr="00D91141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bookmarkEnd w:id="0"/>
    <w:p w:rsidR="00523E75" w:rsidRPr="00714B3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714B32"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86,2</w:t>
      </w:r>
      <w:r w:rsidRPr="00714B32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2550"/>
        <w:gridCol w:w="2550"/>
      </w:tblGrid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714B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714B32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объеме собственных доходов, %</w:t>
            </w:r>
          </w:p>
        </w:tc>
      </w:tr>
      <w:tr w:rsidR="00714B32" w:rsidRPr="00714B32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7 690,2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6 625,2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6135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  <w:r w:rsidR="00B07EA9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2 974,6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  <w:r w:rsidR="00523E7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  <w:r w:rsidR="00523E7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1 040,8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  <w:r w:rsidR="00523E7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14B32" w:rsidRPr="00714B32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1 065,0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14B32" w:rsidRDefault="00714B32" w:rsidP="006135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  <w:r w:rsidR="00523E75" w:rsidRPr="0071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13547D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767F18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</w:t>
      </w:r>
      <w:r w:rsidR="006D3F81"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9B4F98"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384F26">
        <w:rPr>
          <w:rFonts w:ascii="Times New Roman" w:eastAsia="Times New Roman" w:hAnsi="Times New Roman" w:cs="Times New Roman"/>
          <w:sz w:val="30"/>
          <w:szCs w:val="30"/>
          <w:lang w:eastAsia="ru-RU"/>
        </w:rPr>
        <w:t> 433,8</w:t>
      </w:r>
      <w:r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или </w:t>
      </w:r>
      <w:r w:rsidR="009B4F98"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>88,</w:t>
      </w:r>
      <w:r w:rsidR="00B95E3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767F1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2550"/>
        <w:gridCol w:w="1980"/>
      </w:tblGrid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767F18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767F18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3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433,8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767F18" w:rsidP="00767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16 853,7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3F6D16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7F18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3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23E75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681304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372,2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767F18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</w:t>
            </w:r>
            <w:r w:rsidR="003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767F18" w:rsidP="00767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86D9E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67F18" w:rsidRPr="00767F1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767F18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4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015,4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67F18" w:rsidRDefault="00384F26" w:rsidP="00384F2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="00523E75" w:rsidRPr="007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262B2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262B23"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>18 233,3</w:t>
      </w:r>
      <w:r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262B23"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>68,9</w:t>
      </w:r>
      <w:r w:rsidRPr="00262B2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2269"/>
        <w:gridCol w:w="1698"/>
      </w:tblGrid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261711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262B23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23E75" w:rsidRPr="00261711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62B23" w:rsidP="00014B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14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433,8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62B23" w:rsidP="00262B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18 233,3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304EAF" w:rsidP="00304E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  <w:r w:rsidR="000D2BE2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A7FD5" w:rsidP="002A7F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12 680,7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0055B2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48,0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C3D9E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EF199D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0055B2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C3D9E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15236A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0055B2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2C3D9E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2 154,2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0055B2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2C3D9E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DF2A54" w:rsidP="000D2B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0D2BE2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2C3D9E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841,5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61711" w:rsidRDefault="000D2BE2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0055B2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15236A" w:rsidP="002C3D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D9E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678,7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65710E" w:rsidP="006571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6,2</w:t>
            </w:r>
            <w:r w:rsidR="00523E75" w:rsidRPr="00261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C53992" w:rsidP="00C5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DF2A54" w:rsidP="001523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5236A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547D" w:rsidRPr="0013547D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C53992" w:rsidP="00C5399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61711" w:rsidRDefault="000055B2" w:rsidP="000055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  <w:r w:rsidR="00523E75" w:rsidRPr="002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2E3CC2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2E3CC2">
        <w:rPr>
          <w:rFonts w:ascii="Times New Roman" w:hAnsi="Times New Roman" w:cs="Times New Roman"/>
          <w:iCs/>
          <w:sz w:val="30"/>
          <w:szCs w:val="30"/>
        </w:rPr>
        <w:t>В районном бюджете района осуществляется финансирование 1</w:t>
      </w:r>
      <w:r w:rsidR="002E3CC2" w:rsidRPr="002E3CC2">
        <w:rPr>
          <w:rFonts w:ascii="Times New Roman" w:hAnsi="Times New Roman" w:cs="Times New Roman"/>
          <w:iCs/>
          <w:sz w:val="30"/>
          <w:szCs w:val="30"/>
        </w:rPr>
        <w:t>1</w:t>
      </w:r>
      <w:r w:rsidRPr="002E3CC2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Pr="002E3CC2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C34697"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E3CC2"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C34697"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2E3CC2"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23 094,2</w:t>
      </w:r>
      <w:r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2E3CC2"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88,8</w:t>
      </w:r>
      <w:r w:rsidRPr="002E3CC2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82B42" w:rsidRPr="006257B3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районного бюджета занимают следующие программы:</w:t>
      </w:r>
    </w:p>
    <w:p w:rsidR="00282B42" w:rsidRPr="006257B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39,4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9 109,9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рублей;</w:t>
      </w:r>
    </w:p>
    <w:p w:rsidR="00282B42" w:rsidRPr="006257B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                на 2016-2020 годы» –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20,7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F2A54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4 778,2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9656F4" w:rsidRPr="006257B3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3,8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869,7</w:t>
      </w:r>
      <w:r w:rsidRPr="006257B3">
        <w:rPr>
          <w:bCs/>
          <w:sz w:val="30"/>
          <w:szCs w:val="30"/>
        </w:rPr>
        <w:t xml:space="preserve"> 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074E9F" w:rsidRPr="006257B3" w:rsidRDefault="00282B42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22,3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5 152,9</w:t>
      </w:r>
      <w:r w:rsidR="009656F4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  <w:r w:rsidR="00074E9F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74E9F" w:rsidRPr="006257B3" w:rsidRDefault="00074E9F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6,2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6257B3"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1 428,5</w:t>
      </w:r>
      <w:r w:rsidRPr="006257B3">
        <w:rPr>
          <w:bCs/>
          <w:sz w:val="30"/>
          <w:szCs w:val="30"/>
        </w:rPr>
        <w:t xml:space="preserve"> </w:t>
      </w:r>
      <w:r w:rsidRPr="006257B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13547D" w:rsidRPr="0013547D" w:rsidRDefault="0013547D" w:rsidP="0013547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4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декабря 2019 года составил 607,4 тыс</w:t>
      </w:r>
      <w:proofErr w:type="gramStart"/>
      <w:r w:rsidRPr="0013547D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Pr="0013547D">
        <w:rPr>
          <w:rFonts w:ascii="Times New Roman" w:eastAsia="Times New Roman" w:hAnsi="Times New Roman" w:cs="Times New Roman"/>
          <w:sz w:val="30"/>
          <w:szCs w:val="30"/>
          <w:lang w:eastAsia="ru-RU"/>
        </w:rPr>
        <w:t>ублей (уменьшение за период январь-ноябрь 2019 года составило 296,2 тыс. рублей), в том числе:</w:t>
      </w:r>
    </w:p>
    <w:p w:rsidR="0013547D" w:rsidRPr="0013547D" w:rsidRDefault="0013547D" w:rsidP="0013547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547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3,0 тыс. рублей;</w:t>
      </w:r>
    </w:p>
    <w:p w:rsidR="00282B42" w:rsidRPr="0013547D" w:rsidRDefault="0013547D" w:rsidP="0013547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7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январь-ноябрь 2019 года на 2,6 тыс. рублей).</w:t>
      </w:r>
      <w:r w:rsidR="00282B42" w:rsidRPr="001354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13547D" w:rsidRDefault="00282B42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13547D" w:rsidSect="00FD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F5"/>
    <w:rsid w:val="000055B2"/>
    <w:rsid w:val="00011668"/>
    <w:rsid w:val="00014B9E"/>
    <w:rsid w:val="000166E8"/>
    <w:rsid w:val="00074E9F"/>
    <w:rsid w:val="000B6F6D"/>
    <w:rsid w:val="000D2BE2"/>
    <w:rsid w:val="001007DA"/>
    <w:rsid w:val="0013547D"/>
    <w:rsid w:val="0015236A"/>
    <w:rsid w:val="00175DE4"/>
    <w:rsid w:val="001F1B86"/>
    <w:rsid w:val="00257F76"/>
    <w:rsid w:val="00261711"/>
    <w:rsid w:val="00262B23"/>
    <w:rsid w:val="00262C0D"/>
    <w:rsid w:val="00282B42"/>
    <w:rsid w:val="00291E68"/>
    <w:rsid w:val="002A7FD5"/>
    <w:rsid w:val="002C2416"/>
    <w:rsid w:val="002C3D9E"/>
    <w:rsid w:val="002C7921"/>
    <w:rsid w:val="002E3CC2"/>
    <w:rsid w:val="00304EAF"/>
    <w:rsid w:val="00335B30"/>
    <w:rsid w:val="003373AE"/>
    <w:rsid w:val="00384857"/>
    <w:rsid w:val="00384F26"/>
    <w:rsid w:val="003A122F"/>
    <w:rsid w:val="003F6D16"/>
    <w:rsid w:val="00406975"/>
    <w:rsid w:val="00411B47"/>
    <w:rsid w:val="0042138E"/>
    <w:rsid w:val="0043335A"/>
    <w:rsid w:val="0043590C"/>
    <w:rsid w:val="0046441B"/>
    <w:rsid w:val="004909C3"/>
    <w:rsid w:val="004A2EFA"/>
    <w:rsid w:val="00523E75"/>
    <w:rsid w:val="00576E6B"/>
    <w:rsid w:val="005951F8"/>
    <w:rsid w:val="00613563"/>
    <w:rsid w:val="006257B3"/>
    <w:rsid w:val="0065710E"/>
    <w:rsid w:val="00681304"/>
    <w:rsid w:val="00692108"/>
    <w:rsid w:val="006B7730"/>
    <w:rsid w:val="006C67E1"/>
    <w:rsid w:val="006D3F81"/>
    <w:rsid w:val="007063D0"/>
    <w:rsid w:val="00714B32"/>
    <w:rsid w:val="007549AD"/>
    <w:rsid w:val="00767F18"/>
    <w:rsid w:val="0084545D"/>
    <w:rsid w:val="008624E0"/>
    <w:rsid w:val="00871345"/>
    <w:rsid w:val="00892CB8"/>
    <w:rsid w:val="00900809"/>
    <w:rsid w:val="00915368"/>
    <w:rsid w:val="009442FA"/>
    <w:rsid w:val="0095533F"/>
    <w:rsid w:val="009656F4"/>
    <w:rsid w:val="00966156"/>
    <w:rsid w:val="009A7002"/>
    <w:rsid w:val="009B4F98"/>
    <w:rsid w:val="009C7A82"/>
    <w:rsid w:val="009E17AB"/>
    <w:rsid w:val="00A0209A"/>
    <w:rsid w:val="00A32733"/>
    <w:rsid w:val="00A90B12"/>
    <w:rsid w:val="00AA2368"/>
    <w:rsid w:val="00AB1A23"/>
    <w:rsid w:val="00AB38C2"/>
    <w:rsid w:val="00AE7D67"/>
    <w:rsid w:val="00AF7C68"/>
    <w:rsid w:val="00B00E3D"/>
    <w:rsid w:val="00B07EA9"/>
    <w:rsid w:val="00B55E8B"/>
    <w:rsid w:val="00B719A8"/>
    <w:rsid w:val="00B757BA"/>
    <w:rsid w:val="00B95E3F"/>
    <w:rsid w:val="00BB374C"/>
    <w:rsid w:val="00BB6837"/>
    <w:rsid w:val="00BD1880"/>
    <w:rsid w:val="00C2052B"/>
    <w:rsid w:val="00C243E7"/>
    <w:rsid w:val="00C34697"/>
    <w:rsid w:val="00C53992"/>
    <w:rsid w:val="00C56C7E"/>
    <w:rsid w:val="00C641DC"/>
    <w:rsid w:val="00C81DF5"/>
    <w:rsid w:val="00C91FA3"/>
    <w:rsid w:val="00D42FA9"/>
    <w:rsid w:val="00D91141"/>
    <w:rsid w:val="00DE6BD5"/>
    <w:rsid w:val="00DF2A54"/>
    <w:rsid w:val="00E5392C"/>
    <w:rsid w:val="00E81F87"/>
    <w:rsid w:val="00E86D9E"/>
    <w:rsid w:val="00EA4ED5"/>
    <w:rsid w:val="00EF199D"/>
    <w:rsid w:val="00EF3D6B"/>
    <w:rsid w:val="00EF4280"/>
    <w:rsid w:val="00F23997"/>
    <w:rsid w:val="00F3211F"/>
    <w:rsid w:val="00F70338"/>
    <w:rsid w:val="00F74D52"/>
    <w:rsid w:val="00FC6DBD"/>
    <w:rsid w:val="00F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4C9A-A928-49CE-B3B7-B2AA60A2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Slichenok_SYu</cp:lastModifiedBy>
  <cp:revision>54</cp:revision>
  <cp:lastPrinted>2019-08-13T09:36:00Z</cp:lastPrinted>
  <dcterms:created xsi:type="dcterms:W3CDTF">2019-06-14T09:44:00Z</dcterms:created>
  <dcterms:modified xsi:type="dcterms:W3CDTF">2020-03-02T06:52:00Z</dcterms:modified>
</cp:coreProperties>
</file>