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DA23D1" w14:textId="0D88316B" w:rsidR="00820E3E" w:rsidRPr="00A056EB" w:rsidRDefault="00A55D75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ГЛУССК</w:t>
      </w:r>
      <w:r w:rsidR="00E30A55">
        <w:rPr>
          <w:rFonts w:ascii="Times New Roman" w:eastAsia="Calibri" w:hAnsi="Times New Roman" w:cs="Times New Roman"/>
          <w:b/>
          <w:sz w:val="28"/>
          <w:szCs w:val="28"/>
        </w:rPr>
        <w:t>И</w:t>
      </w:r>
      <w:r>
        <w:rPr>
          <w:rFonts w:ascii="Times New Roman" w:eastAsia="Calibri" w:hAnsi="Times New Roman" w:cs="Times New Roman"/>
          <w:b/>
          <w:sz w:val="28"/>
          <w:szCs w:val="28"/>
        </w:rPr>
        <w:t>Й РАЙОННЫЙ</w:t>
      </w:r>
    </w:p>
    <w:p w14:paraId="019CC6F8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ИСПОЛНИТЕЛЬНЫЙ КОМИТЕТ</w:t>
      </w:r>
    </w:p>
    <w:p w14:paraId="7689DADA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9DD755" w14:textId="6555B6AF" w:rsidR="00820E3E" w:rsidRPr="00A056EB" w:rsidRDefault="00A55D75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ОТДЕЛ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ИДЕОЛОГИЧЕСКОЙ РАБОТЫ</w:t>
      </w:r>
    </w:p>
    <w:p w14:paraId="3F5A99BE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И ПО ДЕЛАМ МОЛОДЕЖИ</w:t>
      </w:r>
    </w:p>
    <w:p w14:paraId="11C8DAE7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1829154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90E334E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0D337D6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211FA4A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6BBB1CA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A0621C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8E089D6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914C364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C989556" w14:textId="77777777"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4A6056C" w14:textId="77777777"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02AB967" w14:textId="77777777" w:rsidR="00820E3E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21794F6" w14:textId="77777777" w:rsidR="00820E3E" w:rsidRPr="00A056EB" w:rsidRDefault="00820E3E" w:rsidP="00820E3E">
      <w:pPr>
        <w:spacing w:after="0" w:line="240" w:lineRule="auto"/>
        <w:ind w:left="-1134" w:right="-143"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DBA749D" w14:textId="77777777"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4"/>
          <w:szCs w:val="44"/>
        </w:rPr>
      </w:pPr>
      <w:r w:rsidRPr="003002D0">
        <w:rPr>
          <w:rFonts w:ascii="Times New Roman" w:eastAsia="Calibri" w:hAnsi="Times New Roman" w:cs="Times New Roman"/>
          <w:b/>
          <w:bCs/>
          <w:sz w:val="44"/>
          <w:szCs w:val="44"/>
        </w:rPr>
        <w:t xml:space="preserve">ОБРАЗОВАНИЕ И НАУКА – </w:t>
      </w:r>
      <w:r>
        <w:rPr>
          <w:rFonts w:ascii="Times New Roman" w:eastAsia="Calibri" w:hAnsi="Times New Roman" w:cs="Times New Roman"/>
          <w:b/>
          <w:bCs/>
          <w:sz w:val="44"/>
          <w:szCs w:val="44"/>
        </w:rPr>
        <w:br/>
      </w:r>
      <w:r w:rsidRPr="003002D0">
        <w:rPr>
          <w:rFonts w:ascii="Times New Roman" w:eastAsia="Calibri" w:hAnsi="Times New Roman" w:cs="Times New Roman"/>
          <w:b/>
          <w:bCs/>
          <w:sz w:val="44"/>
          <w:szCs w:val="44"/>
        </w:rPr>
        <w:t>ДВИЖУЩИЕ СИЛЫ РАЗВИТИЯ ОБЩЕСТВА И ГОСУДАРСТВА</w:t>
      </w:r>
    </w:p>
    <w:p w14:paraId="05187D4F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>материал для информационно-пропагандистских групп</w:t>
      </w:r>
    </w:p>
    <w:p w14:paraId="178C041D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18679CA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EFB2F7F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559F162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68DF2B3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7EA49C68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C114AC1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6D8317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A4ACCF2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42A50D3F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0F9FF9B" w14:textId="77777777" w:rsidR="00820E3E" w:rsidRPr="00A056EB" w:rsidRDefault="00820E3E" w:rsidP="00820E3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1CFAF5B" w14:textId="77777777"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37870BED" w14:textId="77777777"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2E16314" w14:textId="77777777"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BA2EA42" w14:textId="77777777" w:rsidR="00820E3E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401A059" w14:textId="77777777"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713CE9" w14:textId="77777777"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2C3ABAE5" w14:textId="77777777"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420AD98" w14:textId="77777777" w:rsidR="003002D0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54B08838" w14:textId="77777777" w:rsidR="00096D58" w:rsidRDefault="00096D58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366AAAE" w14:textId="626B7E74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г. </w:t>
      </w:r>
      <w:r w:rsidR="00A55D75">
        <w:rPr>
          <w:rFonts w:ascii="Times New Roman" w:eastAsia="Calibri" w:hAnsi="Times New Roman" w:cs="Times New Roman"/>
          <w:b/>
          <w:sz w:val="28"/>
          <w:szCs w:val="28"/>
        </w:rPr>
        <w:t>п. Глуск</w:t>
      </w:r>
    </w:p>
    <w:p w14:paraId="64AEA2FC" w14:textId="77777777" w:rsidR="00820E3E" w:rsidRPr="00A056EB" w:rsidRDefault="003002D0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август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202</w:t>
      </w:r>
      <w:r w:rsidR="00820E3E">
        <w:rPr>
          <w:rFonts w:ascii="Times New Roman" w:eastAsia="Calibri" w:hAnsi="Times New Roman" w:cs="Times New Roman"/>
          <w:b/>
          <w:sz w:val="28"/>
          <w:szCs w:val="28"/>
        </w:rPr>
        <w:t>5</w:t>
      </w:r>
      <w:r w:rsidR="00820E3E" w:rsidRPr="00A056EB">
        <w:rPr>
          <w:rFonts w:ascii="Times New Roman" w:eastAsia="Calibri" w:hAnsi="Times New Roman" w:cs="Times New Roman"/>
          <w:b/>
          <w:sz w:val="28"/>
          <w:szCs w:val="28"/>
        </w:rPr>
        <w:t xml:space="preserve"> г.</w:t>
      </w:r>
    </w:p>
    <w:p w14:paraId="1AAF8C38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Calibri"/>
          <w:b/>
          <w:sz w:val="30"/>
          <w:szCs w:val="30"/>
        </w:rPr>
      </w:pPr>
      <w:r w:rsidRPr="00A056EB">
        <w:rPr>
          <w:rFonts w:ascii="Times New Roman" w:eastAsia="Calibri" w:hAnsi="Times New Roman" w:cs="Times New Roman"/>
          <w:b/>
          <w:sz w:val="30"/>
          <w:szCs w:val="30"/>
        </w:rPr>
        <w:lastRenderedPageBreak/>
        <w:t>СОДЕРЖАНИЕ</w:t>
      </w:r>
    </w:p>
    <w:p w14:paraId="5BA2FEAF" w14:textId="77777777" w:rsidR="00820E3E" w:rsidRPr="00A056EB" w:rsidRDefault="00820E3E" w:rsidP="00820E3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tbl>
      <w:tblPr>
        <w:tblStyle w:val="1"/>
        <w:tblW w:w="9956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6"/>
      </w:tblGrid>
      <w:tr w:rsidR="00820E3E" w:rsidRPr="00DE3D95" w14:paraId="105800E8" w14:textId="77777777" w:rsidTr="00CB5FEC">
        <w:tc>
          <w:tcPr>
            <w:tcW w:w="9956" w:type="dxa"/>
          </w:tcPr>
          <w:p w14:paraId="17115E36" w14:textId="77777777" w:rsidR="00820E3E" w:rsidRPr="00686E72" w:rsidRDefault="003002D0" w:rsidP="00820E3E">
            <w:pPr>
              <w:pStyle w:val="a4"/>
              <w:numPr>
                <w:ilvl w:val="0"/>
                <w:numId w:val="1"/>
              </w:numPr>
              <w:ind w:left="322" w:hanging="322"/>
              <w:jc w:val="both"/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</w:pPr>
            <w:r w:rsidRPr="003002D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Образование и наука – движущие силы развития общества 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br/>
            </w:r>
            <w:r w:rsidRPr="003002D0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и государства</w:t>
            </w:r>
            <w:r w:rsidR="00820E3E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</w:t>
            </w:r>
            <w:r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        </w:t>
            </w:r>
            <w:r w:rsidR="00820E3E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 xml:space="preserve">                                   </w:t>
            </w:r>
            <w:r w:rsidR="00820E3E" w:rsidRPr="00686E72">
              <w:rPr>
                <w:rFonts w:ascii="Times New Roman" w:eastAsia="Calibri" w:hAnsi="Times New Roman" w:cs="Times New Roman"/>
                <w:bCs/>
                <w:sz w:val="30"/>
                <w:szCs w:val="30"/>
                <w:lang w:val="ru-RU"/>
              </w:rPr>
              <w:t>– 3</w:t>
            </w:r>
          </w:p>
        </w:tc>
      </w:tr>
      <w:tr w:rsidR="00820E3E" w:rsidRPr="00A056EB" w14:paraId="54D0D7A6" w14:textId="77777777" w:rsidTr="00CB5FEC">
        <w:tc>
          <w:tcPr>
            <w:tcW w:w="9956" w:type="dxa"/>
          </w:tcPr>
          <w:p w14:paraId="1B277C1B" w14:textId="0EFCB538" w:rsidR="00820E3E" w:rsidRPr="009400E6" w:rsidRDefault="00820E3E" w:rsidP="00A55D75">
            <w:pPr>
              <w:pStyle w:val="a4"/>
              <w:ind w:left="322"/>
              <w:jc w:val="both"/>
              <w:rPr>
                <w:rFonts w:ascii="Times New Roman" w:eastAsia="Times New Roman" w:hAnsi="Times New Roman" w:cs="Times New Roman"/>
                <w:bCs/>
                <w:sz w:val="30"/>
                <w:szCs w:val="30"/>
                <w:lang w:val="ru-RU"/>
              </w:rPr>
            </w:pPr>
          </w:p>
        </w:tc>
      </w:tr>
    </w:tbl>
    <w:p w14:paraId="6AEDCBDA" w14:textId="77777777" w:rsidR="00820E3E" w:rsidRPr="00A056EB" w:rsidRDefault="00820E3E" w:rsidP="00820E3E">
      <w:pPr>
        <w:rPr>
          <w:rFonts w:ascii="Times New Roman" w:eastAsia="Times New Roman" w:hAnsi="Times New Roman" w:cs="Times New Roman"/>
          <w:sz w:val="30"/>
          <w:szCs w:val="30"/>
        </w:rPr>
      </w:pPr>
      <w:r w:rsidRPr="00A056EB">
        <w:rPr>
          <w:rFonts w:ascii="Times New Roman" w:eastAsia="Times New Roman" w:hAnsi="Times New Roman" w:cs="Times New Roman"/>
          <w:sz w:val="30"/>
          <w:szCs w:val="30"/>
        </w:rPr>
        <w:br w:type="page"/>
      </w:r>
    </w:p>
    <w:p w14:paraId="3FB24E26" w14:textId="77777777"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bookmarkStart w:id="0" w:name="_Hlk173940424"/>
      <w:r w:rsidRPr="003002D0">
        <w:rPr>
          <w:rFonts w:ascii="Times New Roman" w:eastAsia="Times New Roman" w:hAnsi="Times New Roman" w:cs="Times New Roman"/>
          <w:b/>
          <w:bCs/>
          <w:sz w:val="30"/>
          <w:szCs w:val="30"/>
        </w:rPr>
        <w:lastRenderedPageBreak/>
        <w:t>ОБРАЗОВАНИЕ И НАУКА – ДВИЖУЩИЕ СИЛЫ РАЗВИТИЯ ОБЩЕСТВА И ГОСУДАРСТВА</w:t>
      </w:r>
    </w:p>
    <w:p w14:paraId="366CEDA2" w14:textId="77777777" w:rsidR="003002D0" w:rsidRPr="003002D0" w:rsidRDefault="003002D0" w:rsidP="003002D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 основе информации</w:t>
      </w:r>
    </w:p>
    <w:p w14:paraId="0BE533ED" w14:textId="77777777"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Национального статистического комитета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 xml:space="preserve">Министерства образования Республики Беларусь,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br/>
      </w: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Государственного комитета по науке и технологиям Республики Беларусь,</w:t>
      </w:r>
    </w:p>
    <w:p w14:paraId="7305B6EE" w14:textId="77777777"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Times New Roman" w:hAnsi="Times New Roman" w:cs="Times New Roman"/>
          <w:i/>
          <w:sz w:val="24"/>
          <w:szCs w:val="24"/>
        </w:rPr>
        <w:t>Национальной академии наук</w:t>
      </w: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 Беларуси,</w:t>
      </w:r>
    </w:p>
    <w:p w14:paraId="3D47AC44" w14:textId="77777777"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3002D0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материалов государственных СМИ</w:t>
      </w:r>
    </w:p>
    <w:p w14:paraId="01A88473" w14:textId="77777777" w:rsidR="003002D0" w:rsidRPr="003002D0" w:rsidRDefault="003002D0" w:rsidP="003002D0">
      <w:pPr>
        <w:widowControl w:val="0"/>
        <w:spacing w:after="0" w:line="260" w:lineRule="exact"/>
        <w:jc w:val="center"/>
        <w:rPr>
          <w:rFonts w:ascii="Times New Roman" w:eastAsia="Calibri" w:hAnsi="Times New Roman" w:cs="Times New Roman"/>
          <w:i/>
          <w:sz w:val="28"/>
          <w:szCs w:val="28"/>
          <w:lang w:eastAsia="ru-RU"/>
        </w:rPr>
      </w:pPr>
    </w:p>
    <w:p w14:paraId="38EDD7CA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1.</w:t>
      </w:r>
    </w:p>
    <w:p w14:paraId="177C3A13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13CCBA1B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9A2DAA7" wp14:editId="27AB264A">
            <wp:extent cx="3219450" cy="18111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172" cy="1832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0C5110" w14:textId="77777777"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638E8F94" w14:textId="77777777"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Важнейшим фактором, движущей силой развития общества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государства в современных условиях является интеллектуальный потенциал человека. Мы наблюдаем все возрастающую роль человеческого капитала в развитии современной экономики. Человек с присущими ему способностями, знаниями и возможностью творчески и нестандартно решать поставленные задачи становится залогом успеха новых проектов. </w:t>
      </w:r>
    </w:p>
    <w:p w14:paraId="6F270684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Глава государства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А.Г.Лукашенко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неоднократно подчеркивал, что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«человеческий капитал является для нас самой высокой ценностью. Ибо это инвестиции в будущее», «человеческий капитал – это главный ресурс страны, на развитие которого мы всегда найдем средства»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4731E96B" w14:textId="77777777"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2.</w:t>
      </w:r>
    </w:p>
    <w:p w14:paraId="60D48443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 wp14:anchorId="6BE8B4C1" wp14:editId="596B4214">
            <wp:simplePos x="0" y="0"/>
            <wp:positionH relativeFrom="column">
              <wp:posOffset>453390</wp:posOffset>
            </wp:positionH>
            <wp:positionV relativeFrom="paragraph">
              <wp:posOffset>299720</wp:posOffset>
            </wp:positionV>
            <wp:extent cx="3162300" cy="177927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77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E2E8BD" w14:textId="77777777" w:rsidR="003002D0" w:rsidRPr="003002D0" w:rsidRDefault="003002D0" w:rsidP="003002D0">
      <w:pPr>
        <w:spacing w:before="120"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lastRenderedPageBreak/>
        <w:t>Национальная система образования – фактор экономического роста и благосостояния страны</w:t>
      </w:r>
    </w:p>
    <w:p w14:paraId="430771CD" w14:textId="77777777"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является государством, где реализуется принцип непрерывности образования 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(образование через всю жизнь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), реализуется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>и гарантируется право на бесплатное получение образования.</w:t>
      </w:r>
    </w:p>
    <w:p w14:paraId="0FA5A8D5" w14:textId="77777777"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614AA14F" w14:textId="77777777"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Слайд 3.</w:t>
      </w:r>
    </w:p>
    <w:p w14:paraId="071B3ACE" w14:textId="77777777"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2D2DDC0" wp14:editId="6E91B21D">
            <wp:extent cx="3217334" cy="180975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37661" cy="182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BA1EA" w14:textId="77777777" w:rsidR="003002D0" w:rsidRPr="003002D0" w:rsidRDefault="003002D0" w:rsidP="003002D0">
      <w:pPr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  <w:sz w:val="30"/>
          <w:szCs w:val="30"/>
        </w:rPr>
      </w:pPr>
    </w:p>
    <w:p w14:paraId="656F66DF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Государственная поддержка образования в Республике Беларусь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играет ключевую роль в обеспечении равного доступа к знаниям для всех слоев населения. Основой этой поддержки является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 xml:space="preserve">система бесплатного среднего образования и бюджетные места в учреждениях высшего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br/>
        <w:t>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</w:p>
    <w:p w14:paraId="7DCA632F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584BEAAC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4.</w:t>
      </w:r>
    </w:p>
    <w:p w14:paraId="7376B833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666AF88C" wp14:editId="30CE06ED">
            <wp:extent cx="3251200" cy="1828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1252" cy="184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57610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bCs/>
          <w:iCs/>
          <w:sz w:val="30"/>
          <w:szCs w:val="30"/>
        </w:rPr>
      </w:pPr>
    </w:p>
    <w:p w14:paraId="170F0F45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 другим мерам государственной поддержки относятся стипендии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средств республиканского или местных бюджетов, общежития, предоставляемые на время обучения. Ряд категорий обучающихся получают также бесплатное горячее питание, бесплатные учебники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>и пособия, спецодежду и обувь на практике и стажировках.</w:t>
      </w:r>
    </w:p>
    <w:p w14:paraId="37C97A2C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Особое внимание уделяется </w:t>
      </w:r>
      <w:r w:rsidRPr="003002D0">
        <w:rPr>
          <w:rFonts w:ascii="Times New Roman" w:eastAsia="Calibri" w:hAnsi="Times New Roman" w:cs="Times New Roman"/>
          <w:b/>
          <w:bCs/>
          <w:i/>
          <w:iCs/>
          <w:sz w:val="30"/>
          <w:szCs w:val="30"/>
        </w:rPr>
        <w:t>государственной поддержке одаренных учащихся и студентов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Действует специальный фонд Президента Республики Беларусь по социальной поддержке одаренных учащихся и студентов, из средств которого 17 июля 2025 г. назначены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очередные стипендии 192 студентам УВО. Гранд-премий с присвоением звания лауреата специального фонда удостоены</w:t>
      </w:r>
      <w:r w:rsidR="00FA450F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28 победителей международных олимпиад и конкурсов.</w:t>
      </w:r>
    </w:p>
    <w:p w14:paraId="4760B4FD" w14:textId="77777777"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640C20EE" w14:textId="77777777" w:rsid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2025 году 29 учащихся приняли участие в 5-ти международных </w:t>
      </w:r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 xml:space="preserve">олимпиадах, завоевав 28 медалей (3 золотых, 14 серебряных, 11 бронзовых). Абсолютным победителем XXI Международной географической олимпиады (iGeo-2025) стал выпускник брестской гимназии Николай </w:t>
      </w:r>
      <w:proofErr w:type="spellStart"/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Мисиюк</w:t>
      </w:r>
      <w:proofErr w:type="spellEnd"/>
      <w:r w:rsidRPr="003002D0">
        <w:rPr>
          <w:rFonts w:ascii="Times New Roman" w:eastAsia="Calibri" w:hAnsi="Times New Roman" w:cs="Times New Roman"/>
          <w:i/>
          <w:spacing w:val="-6"/>
          <w:sz w:val="28"/>
          <w:szCs w:val="28"/>
        </w:rPr>
        <w:t>.</w:t>
      </w:r>
    </w:p>
    <w:p w14:paraId="40582E31" w14:textId="77777777" w:rsidR="00FA450F" w:rsidRPr="003002D0" w:rsidRDefault="00FA450F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pacing w:val="-6"/>
          <w:sz w:val="28"/>
          <w:szCs w:val="28"/>
        </w:rPr>
      </w:pPr>
    </w:p>
    <w:p w14:paraId="11F0DE94" w14:textId="77777777" w:rsidR="003002D0" w:rsidRPr="003002D0" w:rsidRDefault="003002D0" w:rsidP="003002D0">
      <w:pPr>
        <w:spacing w:after="0" w:line="224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Кстати, победители (дипломы I, II, III степени) международных олимпиад и республиканской олимпиады по учебным предметам зачисляются в учреждения высшего образования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без вступительных испытаний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</w:t>
      </w:r>
    </w:p>
    <w:p w14:paraId="60977FE6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2F1273DF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Слайд 5.</w:t>
      </w:r>
    </w:p>
    <w:p w14:paraId="71F3F944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37AE9BF1" w14:textId="77777777" w:rsidR="003002D0" w:rsidRPr="003002D0" w:rsidRDefault="003002D0" w:rsidP="003002D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6AEC736F" wp14:editId="0C155227">
            <wp:extent cx="3572933" cy="200977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86739" cy="201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1384E" w14:textId="77777777" w:rsidR="003002D0" w:rsidRPr="003002D0" w:rsidRDefault="003002D0" w:rsidP="003002D0">
      <w:pPr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</w:p>
    <w:p w14:paraId="03F9D451" w14:textId="77777777"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 сегодняшний день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национальная система образования позволяет удовлетворять потребность экономики в трудовых ресурсах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за счет подготовки в учреждениях образования специалистов со средним специальным, высшим образованием, рабочих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с профессионально-техническим, средним специальным образованием. Выпускники принимаются на первичные должности, для занятия которых не требуется стаж профессиональной деятельности.</w:t>
      </w:r>
    </w:p>
    <w:p w14:paraId="2252E1F2" w14:textId="77777777"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сформирована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система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, объединяющая заказ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на подготовку кадров, объем и структуру подготовки, а также трудоустройство специалистов, рабочих, служащих, подготовленных 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br/>
        <w:t xml:space="preserve">за счет бюджетных средств. Уместно будет отметить, что только наша страна на постсоветском пространстве сохранила систему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профессионально-технического образования и среднего специального образования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. Это с завистью отмечают все соседи, потому что высококвалифицированных рабочих, толковых инженеров </w:t>
      </w:r>
      <w:r w:rsidR="00F77311">
        <w:rPr>
          <w:rFonts w:ascii="Times New Roman" w:eastAsia="Calibri" w:hAnsi="Times New Roman" w:cs="Times New Roman"/>
          <w:bCs/>
          <w:iCs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и головастых технологов не хватает нигде в мире.</w:t>
      </w:r>
    </w:p>
    <w:p w14:paraId="60B2D56E" w14:textId="77777777" w:rsidR="003002D0" w:rsidRPr="003002D0" w:rsidRDefault="003002D0" w:rsidP="003002D0">
      <w:pPr>
        <w:autoSpaceDE w:val="0"/>
        <w:autoSpaceDN w:val="0"/>
        <w:adjustRightInd w:val="0"/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 xml:space="preserve">Успехам в сфере образования способствует реализация требования нашего Президента о недопустимости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в ней метаний, экспериментов ради эксперимента. Наоборот, дана установка на то, чтобы все было четко, прозрачно, понятно – и учителям, и детям, и родителям. </w:t>
      </w:r>
    </w:p>
    <w:p w14:paraId="47B2D8F8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При этом это не отменяет необходимости системы оперативно реагировать на запросы времени, находясь в авангарде всего нового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прогрессивного. </w:t>
      </w:r>
    </w:p>
    <w:p w14:paraId="333A6D2C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14:paraId="637B0AF9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0260D212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6.</w:t>
      </w:r>
    </w:p>
    <w:p w14:paraId="5767A752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3E8AEA21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noProof/>
          <w:sz w:val="30"/>
          <w:szCs w:val="30"/>
          <w:lang w:eastAsia="ru-RU"/>
        </w:rPr>
        <w:drawing>
          <wp:inline distT="0" distB="0" distL="0" distR="0" wp14:anchorId="28FD5A24" wp14:editId="1A77E4DB">
            <wp:extent cx="3629025" cy="204154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2338" cy="2054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44CFB3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54E0EC74" w14:textId="77777777"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А это значит, что государством будут реализованы новые подходы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по всемерному всестороннему формированию личности, как движущей силы развития общества и государства.</w:t>
      </w:r>
    </w:p>
    <w:p w14:paraId="53DC03AB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С 1 сентября начнут действовать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изменения, внесенные в Кодекс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об образовании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3A8595AE" w14:textId="77777777" w:rsidR="003002D0" w:rsidRPr="003002D0" w:rsidRDefault="003002D0" w:rsidP="003002D0">
      <w:pPr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31CC16E5" w14:textId="77777777"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В частности, внесены изменения в ЦЭ и итоговую аттестацию школьников; введен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 xml:space="preserve">новый порядок распределения, предусматривается больше гарантий для выпускников УВО и колледжей. Количество уроков по предмету «Физическая культура и здоровье» увеличивается с двух </w:t>
      </w: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br/>
        <w:t>до трех; в сельские школы возвращена программа по обучению вождению; упрощена организация подвоза школьников; закреплена обязанность для школьников придерживаться делового стиля одежды и др.</w:t>
      </w:r>
    </w:p>
    <w:p w14:paraId="7D970B21" w14:textId="77777777"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Экспорт образовательных услуг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Республике Беларусь является перспективным направлением международного сотрудничества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укрепления гуманитарных связей. В последние годы белорусские учреждения образования активно развивают программы, направленные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на привлечение иностранных студентов, особенно из стран СНГ, Азии, Африки и Латинской Америки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692FD2E" w14:textId="77777777"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Наблюдается тенденция к росту востребованности белорусского образования среди иностранных граждан, желающих обучаться в УВО Республики Беларусь. Если в 2010 году в республике обучалось около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10 тыс. иностранных граждан, </w:t>
      </w:r>
      <w:r w:rsidRPr="003002D0">
        <w:rPr>
          <w:rFonts w:ascii="Times New Roman" w:eastAsia="Calibri" w:hAnsi="Times New Roman" w:cs="Times New Roman"/>
          <w:sz w:val="30"/>
          <w:szCs w:val="30"/>
          <w:shd w:val="clear" w:color="auto" w:fill="FBFBFB"/>
        </w:rPr>
        <w:t xml:space="preserve">то на 1 января 2025 г. уже порядка 34 тыс.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 более 110 стран)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7007A1DA" w14:textId="77777777" w:rsidR="003002D0" w:rsidRPr="003002D0" w:rsidRDefault="003002D0" w:rsidP="003002D0">
      <w:pPr>
        <w:spacing w:after="0" w:line="235" w:lineRule="auto"/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Привлекательность белорусского образования обусловлена высоким качеством преподавания, доступными условиями обучения, современными учебными программами и признанием дипломов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за рубежом.</w:t>
      </w:r>
    </w:p>
    <w:p w14:paraId="6FD927B8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стимулирования экспорта образовательных услуг государство реализует ряд мер: упрощение визового режима для иностранных студентов, поддержка рекламных кампаний за рубежом, развитие онлайн-курсов и платформ дистанционного обучения. Эти шаги позволяют не только расширить приток студентов, но и укрепить экономическое положение учреждений образования, сделать их менее зависимыми от государственного финансирования.</w:t>
      </w:r>
    </w:p>
    <w:p w14:paraId="78D5C40A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более широком контексте экспорт образования способствует формированию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положительного имиджа Беларуси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как страны, ориентированной на знания, диалог и международное партнерство. Иностранные выпускники, получившие образование в Беларуси, являются примером народной дипломатии, способствующей развитию взаимопонимания между народами. </w:t>
      </w:r>
    </w:p>
    <w:p w14:paraId="3BCE99C3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Выбор курса на создание социального государства позволил определить верную стратегию функционирования и развития системы образования Республики Беларусь. Об этом свидетельствуют такие макропоказатели по данным переписи населения 2019 года, как уровень грамотности взрослого населения (99,9%), охват общим базовым, общим средним, профессионально-техническим, средним специальным, высшим и научно-ориентированным образованием занятого населения (99,6%).</w:t>
      </w:r>
    </w:p>
    <w:p w14:paraId="7FED977E" w14:textId="77777777"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58D9ABD1" w14:textId="77777777"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Cs/>
          <w:i/>
          <w:sz w:val="28"/>
          <w:szCs w:val="28"/>
        </w:rPr>
        <w:t>По индексу уровня образования в 2024 году Республика Беларусь заняла 40-е место из 193 стран (2023 г. – 57-е место из 207 стран).</w:t>
      </w:r>
    </w:p>
    <w:p w14:paraId="31A15242" w14:textId="77777777" w:rsidR="003002D0" w:rsidRPr="003002D0" w:rsidRDefault="003002D0" w:rsidP="003002D0">
      <w:pPr>
        <w:spacing w:before="120" w:after="0" w:line="235" w:lineRule="auto"/>
        <w:ind w:firstLine="709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Состояние и перспективы развития отечественной науки</w:t>
      </w:r>
    </w:p>
    <w:p w14:paraId="14DD85F2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Беларусь – страна, в которой развивается целая индустрия интеллекта, для которой создан научный ландшафт. Сформирована междисциплинарная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многовекторная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структура, включающая академическую, вузовскую и отраслевую компоненты, функционирующие в тесном взаимодействии. Работают многочисленные отраслевые лаборатории, совместные кафедры, кластеры, центры. Все это обеспечивает получение новейших результатов мирового уровня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и наукоемкой продукции, решает задачи научно-технологического суверенитета, импортозамещения и наращивания экспорта.</w:t>
      </w:r>
    </w:p>
    <w:p w14:paraId="116851D5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pacing w:val="-6"/>
          <w:sz w:val="30"/>
          <w:szCs w:val="30"/>
        </w:rPr>
        <w:lastRenderedPageBreak/>
        <w:t>В Беларуси утверждены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приоритетные направления научной, научно-технической и инновационной деятельности в стране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br/>
        <w:t>на 2026-2030 годы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6A1825B4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Это цифровые технологии и искусственный интеллект, инновационные технологии в промышленности, биологические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медицинские технологии, инновационные технологии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в агропромышленном комплексе и пищевой промышленности, научное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научно-техническое обеспечение безопасности человека, общества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 xml:space="preserve">и государства. </w:t>
      </w:r>
    </w:p>
    <w:p w14:paraId="3B6B559D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Для реализации этих направлений Республика Беларусь располагает соответствующим </w:t>
      </w:r>
      <w:r w:rsidRPr="003002D0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кадровым научным потенциалом</w:t>
      </w: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 xml:space="preserve">. </w:t>
      </w:r>
    </w:p>
    <w:p w14:paraId="1FC03F1B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</w:p>
    <w:p w14:paraId="2D41A4D5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7.</w:t>
      </w:r>
    </w:p>
    <w:p w14:paraId="4A5D57CB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936DDE" wp14:editId="26EA9BFE">
            <wp:extent cx="3524250" cy="198239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8130" cy="1995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ED78" w14:textId="77777777"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Каждый третий научный работник – это молодой ученый в возрасте до 35 лет. </w:t>
      </w:r>
    </w:p>
    <w:p w14:paraId="1D8C15EC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В Республике Беларусь создана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 xml:space="preserve">система стимулирования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br/>
        <w:t>и привлечения в научную сферу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b/>
          <w:bCs/>
          <w:iCs/>
          <w:sz w:val="30"/>
          <w:szCs w:val="30"/>
        </w:rPr>
        <w:t>одаренной молодежи</w:t>
      </w:r>
      <w:r w:rsidRPr="003002D0">
        <w:rPr>
          <w:rFonts w:ascii="Times New Roman" w:eastAsia="Calibri" w:hAnsi="Times New Roman" w:cs="Times New Roman"/>
          <w:bCs/>
          <w:iCs/>
          <w:sz w:val="30"/>
          <w:szCs w:val="30"/>
        </w:rPr>
        <w:t>.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</w:t>
      </w:r>
    </w:p>
    <w:p w14:paraId="2231C5FE" w14:textId="77777777"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b/>
          <w:i/>
          <w:sz w:val="28"/>
          <w:szCs w:val="28"/>
        </w:rPr>
        <w:t>Справочно:</w:t>
      </w:r>
    </w:p>
    <w:p w14:paraId="6A857125" w14:textId="77777777"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открытый конкурс по назначению стипендий Президента Республики Беларусь талантливым молодым ученым; </w:t>
      </w:r>
    </w:p>
    <w:p w14:paraId="1C528A69" w14:textId="77777777"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открытый конкурс по назначению стипендий Президента Республики Беларусь аспирантам;</w:t>
      </w:r>
    </w:p>
    <w:p w14:paraId="25949C30" w14:textId="77777777"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>конкурс научно-исследовательских работ докторантов, аспирантов, соискателей и студентов;</w:t>
      </w:r>
    </w:p>
    <w:p w14:paraId="5138A033" w14:textId="77777777"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002D0">
        <w:rPr>
          <w:rFonts w:ascii="Times New Roman" w:eastAsia="Calibri" w:hAnsi="Times New Roman" w:cs="Times New Roman"/>
          <w:i/>
          <w:sz w:val="28"/>
          <w:szCs w:val="28"/>
        </w:rPr>
        <w:t xml:space="preserve">конкурс на выполнение фундаментальных научных исследований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 xml:space="preserve">и поисковых научных исследований совместно научными группами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br/>
        <w:t>под руководством молодых ученых Беларуси и России и др.</w:t>
      </w:r>
    </w:p>
    <w:p w14:paraId="0466984D" w14:textId="77777777" w:rsidR="003002D0" w:rsidRPr="003002D0" w:rsidRDefault="003002D0" w:rsidP="003002D0">
      <w:pPr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>Ежегодно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в различных отраслях экономики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внедряется более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300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академических разработок, способствующих повышению конкурентоспособности Республики Беларусь на международных рынках. </w:t>
      </w:r>
    </w:p>
    <w:p w14:paraId="6EED784B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Приведем некоторые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 xml:space="preserve">примеры инновационных производств, разработки которых были внедрены в реальный сектор </w:t>
      </w:r>
      <w:r w:rsidR="00F77311">
        <w:rPr>
          <w:rFonts w:ascii="Times New Roman" w:eastAsia="Calibri" w:hAnsi="Times New Roman" w:cs="Times New Roman"/>
          <w:b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по состоянию на июль 2025 г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272CC989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 базе Института физики им.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Б.И.Степанова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создано инновационное производство по выпуску экспортоориентированных высокотехнологичных лазерных систем с диодной накачкой нового поколения, а также прецизионных оптических элементов лазерного качества.</w:t>
      </w:r>
    </w:p>
    <w:p w14:paraId="7C3C6302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Освоен выпуск новейших образцов техники, в том числе: </w:t>
      </w:r>
    </w:p>
    <w:p w14:paraId="33AF468D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электрического карьерного самосвала грузоподъемностью 120 т; самосвала карьерного грузоподъемностью 136 т;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шлаковоза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грузоподъемностью 80 т с чашей объемом 11 м³ и тяжеловоза грузоподъемностью 150 т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«БЕЛАЗ»)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66326EC1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трактора «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» на базе бесступенчатой трансмиссии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с двигателем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Weichai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(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Вейчай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>) мощностью 330 л. с.; трактора «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Беларус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» с центральным приводом и передним ведущим мостом увеличенной грузоподъемности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«МТЗ»)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;</w:t>
      </w:r>
    </w:p>
    <w:p w14:paraId="37CFD2A8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новых грузовых автомобилей, включая модели с правым расположением органов управления; перронного автобуса второго поколения с двигателем мощностью 300 л. с.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(ОАО «МАЗ»)</w:t>
      </w:r>
      <w:r w:rsidRPr="003002D0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3AD14A21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ОАО «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Планар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>» поставлен на производство высокопроизводительный генератор изображений с применением технологии пространственно- световой модуляции.</w:t>
      </w:r>
    </w:p>
    <w:p w14:paraId="0A159854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Разработан ассортимент и освоена технология производства новых видов продуктов мясных и из мяса птицы </w:t>
      </w:r>
      <w:r w:rsidRPr="003002D0">
        <w:rPr>
          <w:rFonts w:ascii="Times New Roman" w:eastAsia="Calibri" w:hAnsi="Times New Roman" w:cs="Times New Roman"/>
          <w:i/>
          <w:sz w:val="28"/>
          <w:szCs w:val="28"/>
        </w:rPr>
        <w:t>(изделия колбасные, полуфабрикаты)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с пониженной калорийностью для питания детей дошкольного и школьного возраста с повышенным индексом массы тела.</w:t>
      </w:r>
    </w:p>
    <w:p w14:paraId="798174CD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i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Для примера,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t xml:space="preserve"> фактический выпуск импортозамещающей продукции и услуг по разработкам НАН Беларуси, внедренным </w:t>
      </w:r>
      <w:r w:rsidRPr="003002D0">
        <w:rPr>
          <w:rFonts w:ascii="Times New Roman" w:eastAsia="Calibri" w:hAnsi="Times New Roman" w:cs="Times New Roman"/>
          <w:b/>
          <w:i/>
          <w:sz w:val="30"/>
          <w:szCs w:val="30"/>
        </w:rPr>
        <w:br/>
        <w:t>в экономику, составляет порядка 335 млн долларов США в год</w:t>
      </w:r>
      <w:r w:rsidRPr="003002D0">
        <w:rPr>
          <w:rFonts w:ascii="Times New Roman" w:eastAsia="Calibri" w:hAnsi="Times New Roman" w:cs="Times New Roman"/>
          <w:i/>
          <w:sz w:val="30"/>
          <w:szCs w:val="30"/>
        </w:rPr>
        <w:t>.</w:t>
      </w:r>
    </w:p>
    <w:p w14:paraId="766AD5B4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Одну из ключевых позиций в развитии инновационного предпринимательства Республики Беларусь занимают </w:t>
      </w:r>
      <w:r w:rsidRPr="003002D0">
        <w:rPr>
          <w:rFonts w:ascii="Times New Roman" w:eastAsia="Times New Roman" w:hAnsi="Times New Roman" w:cs="Times New Roman"/>
          <w:b/>
          <w:bCs/>
          <w:iCs/>
          <w:sz w:val="30"/>
          <w:szCs w:val="30"/>
          <w:lang w:eastAsia="ru-RU"/>
        </w:rPr>
        <w:t>технопарки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, которые активно содействуют усилению интеграционных процессов между учреждениями образования и инновационными предприятиями </w:t>
      </w: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br/>
        <w:t>в производственной, кадровой, научно-исследовательской сферах.</w:t>
      </w:r>
    </w:p>
    <w:p w14:paraId="7B9556B1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 xml:space="preserve">На сегодняшний день в республике действуют 14 технопарков, расположенных во всех регионах страны: по одному в Брестской, Гомельской и Гродненской областях, по два в Минской и Могилевской областях, три в Витебской области и четыре в </w:t>
      </w:r>
      <w:proofErr w:type="spellStart"/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г.Минске</w:t>
      </w:r>
      <w:proofErr w:type="spellEnd"/>
      <w:r w:rsidRPr="003002D0">
        <w:rPr>
          <w:rFonts w:ascii="Times New Roman" w:eastAsia="Times New Roman" w:hAnsi="Times New Roman" w:cs="Times New Roman"/>
          <w:bCs/>
          <w:iCs/>
          <w:sz w:val="30"/>
          <w:szCs w:val="30"/>
          <w:lang w:eastAsia="ru-RU"/>
        </w:rPr>
        <w:t>.</w:t>
      </w:r>
    </w:p>
    <w:p w14:paraId="2B2BD1B1" w14:textId="77777777" w:rsidR="003002D0" w:rsidRPr="003002D0" w:rsidRDefault="003002D0" w:rsidP="003002D0">
      <w:pPr>
        <w:spacing w:before="120"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Справочно:</w:t>
      </w:r>
    </w:p>
    <w:p w14:paraId="4B1843D9" w14:textId="77777777"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По итогам 2024 года численность работников резидентов технопарков составила 6 424 человека, что на 83% больше аналогичного показателя 2021 года (3 506 человек). </w:t>
      </w:r>
    </w:p>
    <w:p w14:paraId="7CEFBFC8" w14:textId="77777777"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Объем выпуска продукции резидентами технопарков за 2024 год составил более 1 млрд рублей, что в три раза больше, чем было зафиксировано в 2021 году – 320,3 млн рублей. </w:t>
      </w:r>
    </w:p>
    <w:p w14:paraId="149D67B3" w14:textId="77777777" w:rsidR="003002D0" w:rsidRPr="003002D0" w:rsidRDefault="003002D0" w:rsidP="003002D0">
      <w:pPr>
        <w:spacing w:after="0" w:line="280" w:lineRule="exact"/>
        <w:ind w:left="709" w:firstLine="709"/>
        <w:jc w:val="both"/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</w:pP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 xml:space="preserve">По итогам 2024 года резидентами технопарков поставлено </w:t>
      </w:r>
      <w:r w:rsidRPr="003002D0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br/>
        <w:t>на экспорт продукции на 459,6 млн рублей (в 2021 году – 137,9 млн рублей).</w:t>
      </w:r>
    </w:p>
    <w:p w14:paraId="75A0043B" w14:textId="77777777" w:rsidR="003002D0" w:rsidRPr="003002D0" w:rsidRDefault="003002D0" w:rsidP="003002D0">
      <w:pPr>
        <w:tabs>
          <w:tab w:val="left" w:pos="1455"/>
        </w:tabs>
        <w:spacing w:before="120"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Беларуси проводится системная работа по развитию </w:t>
      </w:r>
      <w:r w:rsidRPr="003002D0">
        <w:rPr>
          <w:rFonts w:ascii="Times New Roman" w:eastAsia="Calibri" w:hAnsi="Times New Roman" w:cs="Times New Roman"/>
          <w:b/>
          <w:sz w:val="30"/>
          <w:szCs w:val="30"/>
        </w:rPr>
        <w:t>международного научно-технического сотрудничества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. Основные усилия государства направлены на углубление взаимодействия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Союзном государстве, ЕАЭС, СНГ и со странами дальней дуги.</w:t>
      </w:r>
    </w:p>
    <w:p w14:paraId="16CF5335" w14:textId="77777777"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Белорусские ученые сотрудничают с коллегами со всего мира. </w:t>
      </w:r>
    </w:p>
    <w:p w14:paraId="2AB7D0D4" w14:textId="77777777"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Новые возможности перед Беларусью открывает присоединение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4 июля 2024 г. в Астане к Шанхайской организации сотрудничества. Начато взаимодействие в рамках соглашения между правительствами государств </w:t>
      </w:r>
      <w:r w:rsidRPr="003002D0">
        <w:rPr>
          <w:rFonts w:ascii="Times New Roman" w:eastAsia="Calibri" w:hAnsi="Times New Roman" w:cs="Times New Roman"/>
          <w:bCs/>
          <w:i/>
          <w:iCs/>
          <w:sz w:val="30"/>
          <w:szCs w:val="30"/>
        </w:rPr>
        <w:t>–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членов ШОС о научно-техническом сотрудничестве. </w:t>
      </w:r>
    </w:p>
    <w:p w14:paraId="68D30DCF" w14:textId="77777777" w:rsidR="003002D0" w:rsidRPr="003002D0" w:rsidRDefault="003002D0" w:rsidP="003002D0">
      <w:pPr>
        <w:tabs>
          <w:tab w:val="left" w:pos="1455"/>
        </w:tabs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Развивается и научное сотрудничество со странами дальней дуги.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В их числе Китай, Индия, Турция, Венесуэла, Сингапур и многие другие. </w:t>
      </w:r>
    </w:p>
    <w:p w14:paraId="03C5B244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Только на базе организаций НАН Беларуси действует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br/>
        <w:t>33 международных исследовательских центра с организациями России, Китая, Вьетнама, Турции, ЮАР и др.</w:t>
      </w:r>
    </w:p>
    <w:p w14:paraId="52549C0A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Одним из ключевых направлений интеграции является научно-техническое и инновационное сотрудничество между Республикой Беларусь и Российской Федерацией. Союзные программы и проекты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уже доказали свою успешность. Значимые результаты получены </w:t>
      </w:r>
      <w:r w:rsidR="00F77311">
        <w:rPr>
          <w:rFonts w:ascii="Times New Roman" w:eastAsia="Calibri" w:hAnsi="Times New Roman" w:cs="Times New Roman"/>
          <w:sz w:val="30"/>
          <w:szCs w:val="30"/>
        </w:rPr>
        <w:br/>
      </w:r>
      <w:r w:rsidRPr="003002D0">
        <w:rPr>
          <w:rFonts w:ascii="Times New Roman" w:eastAsia="Calibri" w:hAnsi="Times New Roman" w:cs="Times New Roman"/>
          <w:sz w:val="30"/>
          <w:szCs w:val="30"/>
        </w:rPr>
        <w:t>в области космоса, микроэлектроники, медицины, агропромышленных технологий и по другим направлениям.</w:t>
      </w:r>
    </w:p>
    <w:p w14:paraId="12F31476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>В настоящее время выполняются три научно-технические программы Союзного государства:</w:t>
      </w:r>
    </w:p>
    <w:p w14:paraId="1264AAC4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</w:t>
      </w:r>
      <w:proofErr w:type="spellStart"/>
      <w:r w:rsidRPr="003002D0">
        <w:rPr>
          <w:rFonts w:ascii="Times New Roman" w:eastAsia="Calibri" w:hAnsi="Times New Roman" w:cs="Times New Roman"/>
          <w:b/>
          <w:sz w:val="30"/>
          <w:szCs w:val="30"/>
        </w:rPr>
        <w:t>Интелавто</w:t>
      </w:r>
      <w:proofErr w:type="spellEnd"/>
      <w:r w:rsidRPr="003002D0">
        <w:rPr>
          <w:rFonts w:ascii="Times New Roman" w:eastAsia="Calibri" w:hAnsi="Times New Roman" w:cs="Times New Roman"/>
          <w:b/>
          <w:sz w:val="30"/>
          <w:szCs w:val="30"/>
        </w:rPr>
        <w:t>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системы бортовой электроники автотранспортных средств, превосходящей существующие аналоги, в т.ч. управления двигателем, бортовой безопасности, роботизированного управления, высокоэффективных электродвигателей и</w:t>
      </w:r>
      <w:r w:rsidR="00F77311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других </w:t>
      </w:r>
      <w:r w:rsidR="00F77311" w:rsidRPr="003002D0">
        <w:rPr>
          <w:rFonts w:ascii="Times New Roman" w:eastAsia="Calibri" w:hAnsi="Times New Roman" w:cs="Times New Roman"/>
          <w:sz w:val="30"/>
          <w:szCs w:val="30"/>
        </w:rPr>
        <w:t>компонентов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для электрического и гибридного транспорта;</w:t>
      </w:r>
    </w:p>
    <w:p w14:paraId="3AF7E803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«Компонент-Ф»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новых образцов лазерной техники, применяемой для обработки различных материалов и производства медицинской техники;</w:t>
      </w:r>
    </w:p>
    <w:p w14:paraId="538C8784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«Комплекс-СГ»</w:t>
      </w: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– разработка базовых элементов орбитальных </w:t>
      </w:r>
      <w:r w:rsidRPr="003002D0">
        <w:rPr>
          <w:rFonts w:ascii="Times New Roman" w:eastAsia="Calibri" w:hAnsi="Times New Roman" w:cs="Times New Roman"/>
          <w:sz w:val="30"/>
          <w:szCs w:val="30"/>
        </w:rPr>
        <w:br/>
        <w:t xml:space="preserve">и наземных средств в интересах создания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многоспутниковых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группировок малоразмерных космических аппаратов наблюдения земной поверхности и околоземного космического пространства.</w:t>
      </w:r>
    </w:p>
    <w:p w14:paraId="5137B748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/>
          <w:sz w:val="30"/>
          <w:szCs w:val="30"/>
        </w:rPr>
      </w:pPr>
      <w:r w:rsidRPr="003002D0">
        <w:rPr>
          <w:rFonts w:ascii="Times New Roman" w:eastAsia="Calibri" w:hAnsi="Times New Roman" w:cs="Times New Roman"/>
          <w:b/>
          <w:sz w:val="30"/>
          <w:szCs w:val="30"/>
        </w:rPr>
        <w:t>Достижения и успехи развития Республики Беларусь отмечены на международном уровне.</w:t>
      </w:r>
    </w:p>
    <w:p w14:paraId="617F2750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В рейтинге достижения Целей устойчивого развития Беларусь заняла 32-е место среди 167 стран согласно </w:t>
      </w:r>
      <w:proofErr w:type="spellStart"/>
      <w:r w:rsidRPr="003002D0">
        <w:rPr>
          <w:rFonts w:ascii="Times New Roman" w:eastAsia="Calibri" w:hAnsi="Times New Roman" w:cs="Times New Roman"/>
          <w:sz w:val="30"/>
          <w:szCs w:val="30"/>
        </w:rPr>
        <w:t>Sustainable</w:t>
      </w:r>
      <w:proofErr w:type="spellEnd"/>
      <w:r w:rsidRPr="003002D0">
        <w:rPr>
          <w:rFonts w:ascii="Times New Roman" w:eastAsia="Calibri" w:hAnsi="Times New Roman" w:cs="Times New Roman"/>
          <w:sz w:val="30"/>
          <w:szCs w:val="30"/>
        </w:rPr>
        <w:t xml:space="preserve"> Development Report 2025. </w:t>
      </w:r>
    </w:p>
    <w:p w14:paraId="6613FFF4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 xml:space="preserve">По индексу человеческого развития среди 193 стран, по данным Доклада ПРООН о человеческом развитии в 2025 году, Беларусь 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 xml:space="preserve">занимает 65-е место в Глобальном индексе человеческого развития (ИЧР). В рамках оценки достижения страны в трех основных аспектах: продолжительность жизни, образование и уровень жизни, </w:t>
      </w:r>
      <w:r w:rsidRPr="003002D0">
        <w:rPr>
          <w:rFonts w:ascii="Times New Roman" w:eastAsia="Calibri" w:hAnsi="Times New Roman" w:cs="Times New Roman"/>
          <w:b/>
          <w:bCs/>
          <w:sz w:val="30"/>
          <w:szCs w:val="30"/>
        </w:rPr>
        <w:t>Беларусь принадлежит к категории стран с очень высоким уровнем человеческого развития</w:t>
      </w:r>
      <w:r w:rsidRPr="003002D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284F0FF4" w14:textId="77777777" w:rsidR="003002D0" w:rsidRPr="003002D0" w:rsidRDefault="003002D0" w:rsidP="003002D0">
      <w:pPr>
        <w:spacing w:after="0" w:line="235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</w:p>
    <w:p w14:paraId="7C23D516" w14:textId="77777777" w:rsidR="003002D0" w:rsidRPr="003002D0" w:rsidRDefault="003002D0" w:rsidP="003002D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****</w:t>
      </w:r>
    </w:p>
    <w:p w14:paraId="05B297D8" w14:textId="77777777" w:rsidR="003002D0" w:rsidRPr="003002D0" w:rsidRDefault="003002D0" w:rsidP="003002D0">
      <w:pPr>
        <w:spacing w:after="120" w:line="240" w:lineRule="auto"/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3002D0">
        <w:rPr>
          <w:rFonts w:ascii="Times New Roman" w:eastAsia="Calibri" w:hAnsi="Times New Roman" w:cs="Times New Roman"/>
          <w:bCs/>
          <w:sz w:val="30"/>
          <w:szCs w:val="30"/>
        </w:rPr>
        <w:t>Слайд 8.</w:t>
      </w:r>
    </w:p>
    <w:p w14:paraId="2F77EDD8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noProof/>
          <w:sz w:val="30"/>
          <w:szCs w:val="30"/>
          <w:lang w:eastAsia="ru-RU"/>
        </w:rPr>
        <w:drawing>
          <wp:inline distT="0" distB="0" distL="0" distR="0" wp14:anchorId="116F178C" wp14:editId="6DE71924">
            <wp:extent cx="3590925" cy="2019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8872" cy="202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C5009" w14:textId="77777777"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«Инвестиции в науку являются ключевым условием экономической стабильности и состоятельности любого государства. Мы в этом не исключение. Время такое, что </w:t>
      </w:r>
      <w:r w:rsidR="00FA450F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br/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>без реальных достижений в научной сфере движение вперед невозможно»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>,</w:t>
      </w:r>
      <w:r w:rsidRPr="003002D0">
        <w:rPr>
          <w:rFonts w:ascii="Times New Roman" w:eastAsia="Times New Roman" w:hAnsi="Times New Roman" w:cs="Times New Roman"/>
          <w:b/>
          <w:i/>
          <w:sz w:val="30"/>
          <w:szCs w:val="30"/>
          <w:lang w:eastAsia="ru-RU"/>
        </w:rPr>
        <w:t xml:space="preserve"> </w:t>
      </w:r>
      <w:r w:rsidRPr="003002D0">
        <w:rPr>
          <w:rFonts w:ascii="Times New Roman" w:eastAsia="Times New Roman" w:hAnsi="Times New Roman" w:cs="Times New Roman"/>
          <w:i/>
          <w:sz w:val="30"/>
          <w:szCs w:val="30"/>
          <w:lang w:eastAsia="ru-RU"/>
        </w:rPr>
        <w:t xml:space="preserve">– сказал Президент на </w:t>
      </w:r>
      <w:r w:rsidRPr="003002D0">
        <w:rPr>
          <w:rFonts w:ascii="Times New Roman" w:eastAsia="Times New Roman" w:hAnsi="Times New Roman" w:cs="Times New Roman"/>
          <w:i/>
          <w:spacing w:val="-6"/>
          <w:sz w:val="30"/>
          <w:szCs w:val="30"/>
          <w:lang w:eastAsia="ru-RU"/>
        </w:rPr>
        <w:t>совещании по анализу деятельности Национальной академии наук Беларуси.</w:t>
      </w:r>
    </w:p>
    <w:p w14:paraId="52C73792" w14:textId="77777777" w:rsidR="003002D0" w:rsidRPr="003002D0" w:rsidRDefault="003002D0" w:rsidP="003002D0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sz w:val="30"/>
          <w:szCs w:val="30"/>
          <w:lang w:eastAsia="ru-RU"/>
        </w:rPr>
        <w:t>Слайд 9.</w:t>
      </w:r>
    </w:p>
    <w:p w14:paraId="3FABAEC3" w14:textId="77777777" w:rsidR="003002D0" w:rsidRPr="003002D0" w:rsidRDefault="003002D0" w:rsidP="003002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0"/>
          <w:szCs w:val="30"/>
          <w:lang w:eastAsia="ru-RU"/>
        </w:rPr>
      </w:pPr>
      <w:r w:rsidRPr="003002D0">
        <w:rPr>
          <w:rFonts w:ascii="Times New Roman" w:eastAsia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5BC7EA0" wp14:editId="3B52A667">
            <wp:extent cx="3505200" cy="1971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9168" cy="2002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BBFDE" w14:textId="77777777" w:rsidR="005847A1" w:rsidRDefault="005847A1">
      <w:pPr>
        <w:rPr>
          <w:rFonts w:ascii="Times New Roman" w:eastAsia="Calibri" w:hAnsi="Times New Roman" w:cs="Times New Roman"/>
          <w:sz w:val="30"/>
          <w:szCs w:val="30"/>
        </w:rPr>
      </w:pPr>
    </w:p>
    <w:p w14:paraId="76ED8E76" w14:textId="77777777" w:rsidR="005847A1" w:rsidRPr="005847A1" w:rsidRDefault="005847A1" w:rsidP="005847A1">
      <w:pPr>
        <w:rPr>
          <w:rFonts w:ascii="Times New Roman" w:eastAsia="Calibri" w:hAnsi="Times New Roman" w:cs="Times New Roman"/>
          <w:sz w:val="30"/>
          <w:szCs w:val="30"/>
        </w:rPr>
      </w:pPr>
    </w:p>
    <w:bookmarkEnd w:id="0"/>
    <w:sectPr w:rsidR="005847A1" w:rsidRPr="005847A1" w:rsidSect="00FA450F">
      <w:headerReference w:type="default" r:id="rId16"/>
      <w:pgSz w:w="11906" w:h="16838"/>
      <w:pgMar w:top="1134" w:right="850" w:bottom="709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5DAF09" w14:textId="77777777" w:rsidR="008716FA" w:rsidRDefault="008716FA" w:rsidP="00CB5FEC">
      <w:pPr>
        <w:spacing w:after="0" w:line="240" w:lineRule="auto"/>
      </w:pPr>
      <w:r>
        <w:separator/>
      </w:r>
    </w:p>
  </w:endnote>
  <w:endnote w:type="continuationSeparator" w:id="0">
    <w:p w14:paraId="7287E024" w14:textId="77777777" w:rsidR="008716FA" w:rsidRDefault="008716FA" w:rsidP="00CB5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C694EF" w14:textId="77777777" w:rsidR="008716FA" w:rsidRDefault="008716FA" w:rsidP="00CB5FEC">
      <w:pPr>
        <w:spacing w:after="0" w:line="240" w:lineRule="auto"/>
      </w:pPr>
      <w:r>
        <w:separator/>
      </w:r>
    </w:p>
  </w:footnote>
  <w:footnote w:type="continuationSeparator" w:id="0">
    <w:p w14:paraId="25243729" w14:textId="77777777" w:rsidR="008716FA" w:rsidRDefault="008716FA" w:rsidP="00CB5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92870987"/>
      <w:docPartObj>
        <w:docPartGallery w:val="Page Numbers (Top of Page)"/>
        <w:docPartUnique/>
      </w:docPartObj>
    </w:sdtPr>
    <w:sdtEndPr/>
    <w:sdtContent>
      <w:p w14:paraId="05A2D1A3" w14:textId="77777777" w:rsidR="003002D0" w:rsidRDefault="003002D0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2510154" w14:textId="77777777" w:rsidR="003002D0" w:rsidRDefault="003002D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C16B3"/>
    <w:multiLevelType w:val="hybridMultilevel"/>
    <w:tmpl w:val="0DBE6FEE"/>
    <w:lvl w:ilvl="0" w:tplc="CFF0ACA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E3E"/>
    <w:rsid w:val="00096D58"/>
    <w:rsid w:val="001853B4"/>
    <w:rsid w:val="003002D0"/>
    <w:rsid w:val="00442586"/>
    <w:rsid w:val="005847A1"/>
    <w:rsid w:val="00820E3E"/>
    <w:rsid w:val="00826E73"/>
    <w:rsid w:val="008716FA"/>
    <w:rsid w:val="008E4F50"/>
    <w:rsid w:val="00A55D75"/>
    <w:rsid w:val="00B16497"/>
    <w:rsid w:val="00CB5FEC"/>
    <w:rsid w:val="00E30A55"/>
    <w:rsid w:val="00F77311"/>
    <w:rsid w:val="00FA4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7E351"/>
  <w15:chartTrackingRefBased/>
  <w15:docId w15:val="{EFD9305E-4739-46EA-993C-20FD62956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820E3E"/>
    <w:pPr>
      <w:spacing w:after="0" w:line="240" w:lineRule="auto"/>
    </w:pPr>
    <w:rPr>
      <w:lang w:val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820E3E"/>
    <w:pPr>
      <w:ind w:left="720"/>
      <w:contextualSpacing/>
    </w:pPr>
  </w:style>
  <w:style w:type="table" w:styleId="a3">
    <w:name w:val="Table Grid"/>
    <w:basedOn w:val="a1"/>
    <w:uiPriority w:val="39"/>
    <w:rsid w:val="00820E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B5FEC"/>
  </w:style>
  <w:style w:type="paragraph" w:styleId="a7">
    <w:name w:val="footer"/>
    <w:basedOn w:val="a"/>
    <w:link w:val="a8"/>
    <w:uiPriority w:val="99"/>
    <w:unhideWhenUsed/>
    <w:rsid w:val="00CB5F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B5F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2261</Words>
  <Characters>12889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Дерешева Юлия Ивановна</dc:creator>
  <cp:keywords/>
  <dc:description/>
  <cp:lastModifiedBy>Тычина Мария Станиславовна</cp:lastModifiedBy>
  <cp:revision>5</cp:revision>
  <cp:lastPrinted>2025-08-15T07:48:00Z</cp:lastPrinted>
  <dcterms:created xsi:type="dcterms:W3CDTF">2025-08-15T07:45:00Z</dcterms:created>
  <dcterms:modified xsi:type="dcterms:W3CDTF">2025-08-15T07:48:00Z</dcterms:modified>
</cp:coreProperties>
</file>