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Президент Республики Беларусь А.Г.Лукашенко</w:t>
      </w:r>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хатынской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шуцманшафта </w:t>
      </w:r>
      <w:r w:rsidRPr="00576D60">
        <w:rPr>
          <w:rFonts w:ascii="Times New Roman" w:eastAsia="Times New Roman" w:hAnsi="Times New Roman"/>
          <w:i/>
          <w:sz w:val="28"/>
          <w:szCs w:val="28"/>
        </w:rPr>
        <w:t>(вспомогательной охранной полиции; костяк батальона был сформирован в Польше, далее – в г.Киеве)</w:t>
      </w:r>
      <w:r w:rsidRPr="00895A01">
        <w:rPr>
          <w:rFonts w:ascii="Times New Roman" w:eastAsia="Times New Roman" w:hAnsi="Times New Roman"/>
          <w:sz w:val="30"/>
          <w:szCs w:val="30"/>
        </w:rPr>
        <w:t xml:space="preserve"> и немецкая рота зондербатальона СС «Дирлевангер»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д.Хатынь.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хатынская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Из воспоминаний И.Каминского:</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 Подожгли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гауптштурмфюрер СС А.Вильке, шеф-командир 118-го батальона майор охранной полиции Э.Кернер, командир батальона бывший майор польской армии К.Смовский, начальник штаба батальона бывший старший лейтенант Красной армии Г.Васюра. </w:t>
      </w:r>
    </w:p>
    <w:p w:rsidR="0025063B" w:rsidRPr="00895A01" w:rsidRDefault="0025063B" w:rsidP="0025063B">
      <w:pPr>
        <w:spacing w:after="0" w:line="240" w:lineRule="auto"/>
        <w:ind w:firstLine="709"/>
        <w:jc w:val="both"/>
        <w:rPr>
          <w:rFonts w:ascii="Times New Roman" w:eastAsia="Times New Roman" w:hAnsi="Times New Roman"/>
          <w:sz w:val="30"/>
          <w:szCs w:val="30"/>
        </w:rPr>
      </w:pP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Чмелевичи, Логойский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Котели и </w:t>
      </w:r>
      <w:r>
        <w:rPr>
          <w:rFonts w:ascii="Times New Roman" w:eastAsia="Times New Roman" w:hAnsi="Times New Roman"/>
          <w:i/>
          <w:sz w:val="28"/>
          <w:szCs w:val="28"/>
        </w:rPr>
        <w:t>д.</w:t>
      </w:r>
      <w:r w:rsidRPr="00895A01">
        <w:rPr>
          <w:rFonts w:ascii="Times New Roman" w:eastAsia="Times New Roman" w:hAnsi="Times New Roman"/>
          <w:i/>
          <w:sz w:val="28"/>
          <w:szCs w:val="28"/>
        </w:rPr>
        <w:t xml:space="preserve">Заречье Логойского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 Логойский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д.Завишинская Рудня Логойского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r>
        <w:rPr>
          <w:rFonts w:ascii="Times New Roman" w:eastAsia="Times New Roman" w:hAnsi="Times New Roman"/>
          <w:sz w:val="30"/>
          <w:szCs w:val="30"/>
        </w:rPr>
        <w:t>д.</w:t>
      </w:r>
      <w:r w:rsidRPr="00FC15FC">
        <w:rPr>
          <w:rFonts w:ascii="Times New Roman" w:eastAsia="Times New Roman" w:hAnsi="Times New Roman"/>
          <w:sz w:val="30"/>
          <w:szCs w:val="30"/>
        </w:rPr>
        <w:t>Хатынь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хатынскую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Желобкович.</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(Ю.Градов, В.Занкович, Л.Левин и скульптор С.Селиханов)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композиционный центр комплекса (образ мужчины с мертвым мальчиком на руках создан в память о кузнеце И.И.Каминском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lastRenderedPageBreak/>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r w:rsidRPr="0076169D">
        <w:rPr>
          <w:rFonts w:ascii="Times New Roman" w:eastAsia="Times New Roman" w:hAnsi="Times New Roman"/>
          <w:b/>
          <w:sz w:val="30"/>
          <w:szCs w:val="30"/>
        </w:rPr>
        <w:t xml:space="preserve">Кожны трэцi»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д.Хатыни,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r w:rsidRPr="0076169D">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«Спадчына» им. Героя Советского Союза П.М.Машерова,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выступающих: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д.Хатыни.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урочище Ивановщина Логойского района</w:t>
      </w:r>
      <w:r w:rsidRPr="0076169D">
        <w:rPr>
          <w:rFonts w:ascii="Times New Roman" w:eastAsia="Times New Roman" w:hAnsi="Times New Roman"/>
          <w:sz w:val="30"/>
          <w:szCs w:val="30"/>
        </w:rPr>
        <w:t xml:space="preserve">. Согласно </w:t>
      </w:r>
      <w:r w:rsidRPr="0076169D">
        <w:rPr>
          <w:rFonts w:ascii="Times New Roman" w:eastAsia="Times New Roman" w:hAnsi="Times New Roman"/>
          <w:sz w:val="30"/>
          <w:szCs w:val="30"/>
        </w:rPr>
        <w:lastRenderedPageBreak/>
        <w:t xml:space="preserve">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r>
        <w:rPr>
          <w:rFonts w:ascii="Times New Roman" w:eastAsia="Times New Roman" w:hAnsi="Times New Roman"/>
          <w:b/>
          <w:sz w:val="30"/>
          <w:szCs w:val="30"/>
        </w:rPr>
        <w:t>Бешенковичском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Например, весной 1942 г. подразделение вспомогательной латышской полиции под командованием Виктора Арайса (</w:t>
      </w:r>
      <w:r>
        <w:rPr>
          <w:rFonts w:ascii="Times New Roman" w:eastAsia="Times New Roman" w:hAnsi="Times New Roman"/>
          <w:b/>
          <w:i/>
          <w:sz w:val="28"/>
          <w:szCs w:val="28"/>
        </w:rPr>
        <w:t>«команда Арайса»</w:t>
      </w:r>
      <w:r>
        <w:rPr>
          <w:rFonts w:ascii="Times New Roman" w:eastAsia="Times New Roman" w:hAnsi="Times New Roman"/>
          <w:i/>
          <w:sz w:val="28"/>
          <w:szCs w:val="28"/>
        </w:rPr>
        <w:t>) участвовало в истреблении узников Минского гетто. «Команда Арайса» охраняла концентрационный лагерь Малый Тростенец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xml:space="preserve">, одна из рот которого охраняла Колдычевский лагерь смерти, участвовала в массовых убийствах и истязаниях его узников. Документы уголовного дела о геноциде белорусского народа </w:t>
      </w:r>
      <w:r>
        <w:rPr>
          <w:rFonts w:ascii="Times New Roman" w:eastAsia="Times New Roman" w:hAnsi="Times New Roman"/>
          <w:i/>
          <w:sz w:val="28"/>
          <w:szCs w:val="28"/>
        </w:rPr>
        <w:lastRenderedPageBreak/>
        <w:t>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польские преступники – члены Армии Крайовой</w:t>
      </w:r>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(как это было в д.Хатыни)</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вблизи урочища Стасино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Столинский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ул.Крылова г.Витебска;</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вблизи населенного пункта Ченки Гомельскогой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«Тростенец»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в микрорайоне Фолюш г.Гродно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аг.Полыковичи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Государственный мемориальный комплекс «Хатынь» (Минская обл., Логойский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детям-жертвам фашизма (Гомельская обл., Жлобинский р-н, д.Красный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Памятник узникам Калдычевского лагеря смерти (Брестская обл., Барановичский р-н, д. Калдычево);</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lastRenderedPageBreak/>
        <w:t>Мемориальный комплекс «Тростенец»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Мемориальный комплекс «Урочище Борок» (Витебская обл., Глубокский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«Ходоровка» (Витебская обл., Докшицкий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«Куповать» (Витебская обл., Сенненский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«Памяти» сожженных деревень Могилевской области» (Могилевская обл., Кировский р-н, д.Борки)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 xml:space="preserve">В том числе документальные сериалы телекомпании «Воен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Белтелерадиокомпании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nca</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Default="00AE5A71">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(абз.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(абз.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(абз.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(абз. 14, 15 п. 1 ст. 4 Закона </w:t>
      </w:r>
      <w:r w:rsidR="00456E5D">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(абз.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этой связи не являются нарушениями (абз.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(абз.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(абз.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(абз.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(абз.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абз.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 xml:space="preserve">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(абз.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(абз.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w:t>
      </w:r>
      <w:r w:rsidRPr="00C80D3A">
        <w:rPr>
          <w:rFonts w:ascii="Times New Roman" w:hAnsi="Times New Roman"/>
          <w:sz w:val="30"/>
          <w:szCs w:val="30"/>
        </w:rPr>
        <w:lastRenderedPageBreak/>
        <w:t>(трудовых) обязанностей...</w:t>
      </w:r>
      <w:r w:rsidR="00830B7B">
        <w:rPr>
          <w:rFonts w:ascii="Times New Roman" w:hAnsi="Times New Roman"/>
          <w:sz w:val="30"/>
          <w:szCs w:val="30"/>
        </w:rPr>
        <w:t>»</w:t>
      </w:r>
      <w:r w:rsidRPr="00C80D3A">
        <w:rPr>
          <w:rFonts w:ascii="Times New Roman" w:hAnsi="Times New Roman"/>
          <w:sz w:val="30"/>
          <w:szCs w:val="30"/>
        </w:rPr>
        <w:t xml:space="preserve">. Одновременно с этим Совмину предоставляется право регламентировать порядок использования служебного имущества (абз.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w:t>
      </w:r>
      <w:r w:rsidRPr="00C80D3A">
        <w:rPr>
          <w:rFonts w:ascii="Times New Roman" w:hAnsi="Times New Roman"/>
          <w:sz w:val="30"/>
          <w:szCs w:val="30"/>
        </w:rPr>
        <w:lastRenderedPageBreak/>
        <w:t xml:space="preserve">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(абз.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(абз.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товары (работы, услуги), полученные (выполненные, оказанные) в рамках распространения рекламы и проведения рекламных игр, если по </w:t>
      </w:r>
      <w:r w:rsidRPr="00C80D3A">
        <w:rPr>
          <w:rFonts w:ascii="Times New Roman" w:hAnsi="Times New Roman"/>
          <w:sz w:val="30"/>
          <w:szCs w:val="30"/>
        </w:rPr>
        <w:lastRenderedPageBreak/>
        <w:t>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ilex</w:t>
      </w:r>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Полошково Климовичского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lastRenderedPageBreak/>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Устиж Осиповичского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t xml:space="preserve">Необходимо  запомнить, что «режим ожидания» у телевизора, компьютера и другой техники – это пожароопасный режим </w:t>
      </w:r>
      <w:r w:rsidRPr="002320B8">
        <w:rPr>
          <w:rFonts w:ascii="Times New Roman" w:hAnsi="Times New Roman"/>
          <w:sz w:val="30"/>
          <w:szCs w:val="30"/>
        </w:rPr>
        <w:lastRenderedPageBreak/>
        <w:t xml:space="preserve">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Фатина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Позднее обнаружение пожара вечером 2 марта не оставило шансов на спасение 69-летнего жителя аг.</w:t>
      </w:r>
      <w:r w:rsidRPr="00D62B09">
        <w:rPr>
          <w:rFonts w:ascii="Times New Roman" w:hAnsi="Times New Roman"/>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Величково Бобруйского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r w:rsidR="005F6862">
        <w:rPr>
          <w:rFonts w:ascii="Times New Roman" w:hAnsi="Times New Roman"/>
          <w:sz w:val="30"/>
          <w:szCs w:val="30"/>
        </w:rPr>
        <w:t>г.</w:t>
      </w:r>
      <w:r w:rsidRPr="00D62B09">
        <w:rPr>
          <w:rFonts w:ascii="Times New Roman" w:hAnsi="Times New Roman"/>
          <w:sz w:val="30"/>
          <w:szCs w:val="30"/>
        </w:rPr>
        <w:t>Кличева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r w:rsidRPr="004F20C3">
        <w:rPr>
          <w:rFonts w:ascii="Times New Roman" w:hAnsi="Times New Roman"/>
          <w:sz w:val="30"/>
          <w:szCs w:val="30"/>
        </w:rPr>
        <w:t xml:space="preserve">аг.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(аг.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lastRenderedPageBreak/>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не оставляйте в местах отдыха непотушенные костры, спички, окурки, стеклянные бутылки (на солнце они работают как </w:t>
      </w:r>
      <w:r w:rsidRPr="00B720AA">
        <w:rPr>
          <w:rFonts w:ascii="Times New Roman" w:hAnsi="Times New Roman"/>
          <w:sz w:val="30"/>
          <w:szCs w:val="30"/>
        </w:rPr>
        <w:lastRenderedPageBreak/>
        <w:t>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2"/>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г.Гродно проходил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в г.Минске.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lastRenderedPageBreak/>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в г.Орша,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залития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сантехоборудованию,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12 мая, после прохождения грозового фронта с порывами ветра до 31 метра в секунду, ущерб нанесен 2940 страхователям Могилевской области, которым Белгосстрахом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Климовичский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Всю необходимую информацию можно получить, обратившись в любое представительство Белгосстраха.</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Pr="005A595F" w:rsidRDefault="00C80D3A" w:rsidP="00C80D3A">
      <w:pPr>
        <w:pStyle w:val="2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 xml:space="preserve"> Белгосстраха по</w:t>
      </w:r>
      <w:r>
        <w:rPr>
          <w:bCs/>
          <w:i/>
          <w:sz w:val="30"/>
          <w:szCs w:val="30"/>
        </w:rPr>
        <w:t xml:space="preserve"> </w:t>
      </w:r>
      <w:r w:rsidRPr="00B93B7E">
        <w:rPr>
          <w:bCs/>
          <w:i/>
          <w:sz w:val="30"/>
          <w:szCs w:val="30"/>
        </w:rPr>
        <w:t>Могилевской области</w:t>
      </w:r>
    </w:p>
    <w:sectPr w:rsidR="00D24C61" w:rsidRPr="005A595F"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B69" w:rsidRDefault="00683B69" w:rsidP="003C3604">
      <w:pPr>
        <w:spacing w:after="0" w:line="240" w:lineRule="auto"/>
      </w:pPr>
      <w:r>
        <w:separator/>
      </w:r>
    </w:p>
  </w:endnote>
  <w:endnote w:type="continuationSeparator" w:id="0">
    <w:p w:rsidR="00683B69" w:rsidRDefault="00683B69"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B69" w:rsidRDefault="00683B69" w:rsidP="003C3604">
      <w:pPr>
        <w:spacing w:after="0" w:line="240" w:lineRule="auto"/>
      </w:pPr>
      <w:r>
        <w:separator/>
      </w:r>
    </w:p>
  </w:footnote>
  <w:footnote w:type="continuationSeparator" w:id="0">
    <w:p w:rsidR="00683B69" w:rsidRDefault="00683B69"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32923">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pt;height:9.6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2923"/>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3B69"/>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F458-93D0-4C7B-95C1-5BA9C10E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11840</Words>
  <Characters>67492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Самуйлик Елена Викторовна</cp:lastModifiedBy>
  <cp:revision>2</cp:revision>
  <cp:lastPrinted>2022-03-04T09:44:00Z</cp:lastPrinted>
  <dcterms:created xsi:type="dcterms:W3CDTF">2023-03-13T12:57:00Z</dcterms:created>
  <dcterms:modified xsi:type="dcterms:W3CDTF">2023-03-13T12:57:00Z</dcterms:modified>
</cp:coreProperties>
</file>