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014" w14:textId="289B1114" w:rsidR="00BA572E" w:rsidRDefault="003811FD" w:rsidP="00245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Комментарий</w:t>
      </w:r>
      <w:r w:rsidR="00FD4F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МНС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Закону Республики Беларусь от 3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="00354799" w:rsidRPr="003547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исчисления и уплаты</w:t>
      </w:r>
      <w:r w:rsidR="003547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354799" w:rsidRPr="003547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налога на игорный бизнес</w:t>
      </w:r>
      <w:r w:rsidR="00F452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BA572E"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B5AFAAC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 xml:space="preserve">С 1 января 2023 года вводится новый объект налогообложения налогом на игорный бизнес – игровой доход, и одновременно из числа объектов налогообложения налогом на игорный бизнес исключается положительная разница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 (абзац шестой пункта 1 статьи 356 Налогового кодекса Республики Беларусь (далее – НК)).</w:t>
      </w:r>
    </w:p>
    <w:p w14:paraId="3C4F5088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Под игровым доходом для деятельности по содержанию виртуального игорного заведения будет пониматься положительная разница между общей суммой денежных средств (электронных денег), переданных (перечисленных, переведенных) организатору азартных игр для участия в азартной игре, а также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заведения, и общей суммой выплаченных (перечисленных, переведенных) организатором азартных игр денежных средств (электронных денег) участникам азартных игр в качестве выигрыша (абзац третий части второй пункта 1 статьи 356 НК).</w:t>
      </w:r>
    </w:p>
    <w:p w14:paraId="49D14626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Согласно части второй пункта 4 статьи 357 НК налоговая база налога на игорный бизнес по игровому доходу в отношении деятельности в сфере игорного бизнеса по содержанию виртуального игорного заведения будет определяться отдельно как денежное выражение образующейся в течение налогового периода:</w:t>
      </w:r>
    </w:p>
    <w:p w14:paraId="7C7D0A59" w14:textId="2B058575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 xml:space="preserve">положительной разницы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ставок);</w:t>
      </w:r>
    </w:p>
    <w:p w14:paraId="640303C6" w14:textId="0C1C5551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>суммы дохода, полученного организатором азартных игр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заведения.</w:t>
      </w:r>
    </w:p>
    <w:p w14:paraId="62B49E1E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 xml:space="preserve">Поскольку деятельность в сфере игорного бизнеса по содержанию виртуального игорного заведения независима от «наземных» видов деятельности в сфере игорного бизнеса (содержание казино, зала игровых автоматов, букмекерской конторы, тотализатора) и может осуществляться без наличия стационарных игорных заведений, налог на игорный бизнес с игрового дохода для деятельности в сфере игорного бизнеса по содержанию виртуального игорного заведения будет исчисляться без учета сумм налога на игорный бизнес в фиксированных суммах, уплачиваемого </w:t>
      </w:r>
      <w:r w:rsidRPr="00354799">
        <w:rPr>
          <w:rFonts w:ascii="Times New Roman" w:hAnsi="Times New Roman" w:cs="Times New Roman"/>
          <w:sz w:val="30"/>
          <w:szCs w:val="30"/>
        </w:rPr>
        <w:lastRenderedPageBreak/>
        <w:t>за игровые столы, игровые автоматы, кассы букмекерских контор и кассы тотализаторов.</w:t>
      </w:r>
    </w:p>
    <w:p w14:paraId="4622C0E9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Также в целях выравнивания уровня налоговой нагрузки при осуществлении деятельности в сфере игорного бизнеса по содержанию виртуального игорного заведения и по содержанию казино, зала игровых автоматов, букмекерской конторы и тотализаторов для деятельности в сфере игорного бизнеса по содержанию виртуального игорного заведения частью шестой пункта 1 статьи 358 НК устанавливается ставка налога на игорный бизнес по игровому доходу в размере 8%.</w:t>
      </w:r>
    </w:p>
    <w:p w14:paraId="3E4F8695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В соответствии с произошедшими корректировками статей 356 - 358 НК подходы к налогообложению деятельности в сфере игорного бизнеса по содержанию казино, зала игровых автоматов, букмекерской конторы и тотализатора в 2023 г. не изменятся. Так, как и ранее:</w:t>
      </w:r>
    </w:p>
    <w:p w14:paraId="0BEAD71A" w14:textId="72E9AF61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354799">
        <w:rPr>
          <w:rFonts w:ascii="Times New Roman" w:hAnsi="Times New Roman" w:cs="Times New Roman"/>
          <w:sz w:val="30"/>
          <w:szCs w:val="30"/>
        </w:rPr>
        <w:t>объектами налогообложения налогом на игорный бизнес для этих видов деятельности будет являться игровой стол, игровой автомат, касса тотализатора, касса букмекерской конторы, а также игровой доход;</w:t>
      </w:r>
    </w:p>
    <w:p w14:paraId="4B4AB32C" w14:textId="56FA5CA6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 xml:space="preserve">налоговая база в отношении игрового дохода применительно к этим видам деятельности будет определяться как денежное выражение образующейся в течение налогового периода положительной разницы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ставок), уменьшенное на сумму налога на игорный бизнес, исчисленную за налоговый период по всем иным объектам налогообложения налогом на игорный бизнес (игровой стол, игровой автомат, касса букмекерской конторы, касса тотализатора);</w:t>
      </w:r>
    </w:p>
    <w:p w14:paraId="0BC877B4" w14:textId="556590AC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>ставка налога на игорный бизнес в отношении игрового дохода для этих видов деятельности установлена в размере 4 %.</w:t>
      </w:r>
    </w:p>
    <w:p w14:paraId="5861B4E3" w14:textId="77777777" w:rsidR="00354799" w:rsidRPr="00354799" w:rsidRDefault="00354799" w:rsidP="00A340C1">
      <w:pPr>
        <w:pStyle w:val="ae"/>
        <w:spacing w:before="0" w:beforeAutospacing="0" w:after="225" w:afterAutospacing="0"/>
        <w:jc w:val="right"/>
        <w:rPr>
          <w:rFonts w:eastAsiaTheme="minorHAnsi"/>
          <w:sz w:val="30"/>
          <w:szCs w:val="30"/>
          <w:lang w:eastAsia="en-US"/>
        </w:rPr>
      </w:pPr>
    </w:p>
    <w:sectPr w:rsidR="00354799" w:rsidRPr="00354799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9DA60" w14:textId="77777777" w:rsidR="002D1DE3" w:rsidRDefault="002D1DE3" w:rsidP="003E6FB6">
      <w:pPr>
        <w:spacing w:after="0" w:line="240" w:lineRule="auto"/>
      </w:pPr>
      <w:r>
        <w:separator/>
      </w:r>
    </w:p>
  </w:endnote>
  <w:endnote w:type="continuationSeparator" w:id="0">
    <w:p w14:paraId="0178CE8A" w14:textId="77777777" w:rsidR="002D1DE3" w:rsidRDefault="002D1DE3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D999" w14:textId="77777777" w:rsidR="002D1DE3" w:rsidRDefault="002D1DE3" w:rsidP="003E6FB6">
      <w:pPr>
        <w:spacing w:after="0" w:line="240" w:lineRule="auto"/>
      </w:pPr>
      <w:r>
        <w:separator/>
      </w:r>
    </w:p>
  </w:footnote>
  <w:footnote w:type="continuationSeparator" w:id="0">
    <w:p w14:paraId="31B58DDF" w14:textId="77777777" w:rsidR="002D1DE3" w:rsidRDefault="002D1DE3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090B59"/>
    <w:multiLevelType w:val="multilevel"/>
    <w:tmpl w:val="ECBE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35863"/>
    <w:multiLevelType w:val="multilevel"/>
    <w:tmpl w:val="4B8C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9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DE3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799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096B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EA4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0952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D4F2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44</cp:revision>
  <cp:lastPrinted>2023-01-06T11:26:00Z</cp:lastPrinted>
  <dcterms:created xsi:type="dcterms:W3CDTF">2021-06-16T07:37:00Z</dcterms:created>
  <dcterms:modified xsi:type="dcterms:W3CDTF">2023-01-10T13:12:00Z</dcterms:modified>
</cp:coreProperties>
</file>