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3C" w:rsidRPr="00C46303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C46303">
        <w:rPr>
          <w:rFonts w:ascii="Times New Roman" w:hAnsi="Times New Roman" w:cs="Times New Roman"/>
          <w:b/>
          <w:bCs/>
          <w:sz w:val="30"/>
          <w:szCs w:val="30"/>
        </w:rPr>
        <w:t xml:space="preserve">Комментарий </w:t>
      </w:r>
    </w:p>
    <w:p w:rsidR="00AC543C" w:rsidRPr="00AC543C" w:rsidRDefault="00AC543C" w:rsidP="00AC543C">
      <w:pPr>
        <w:spacing w:after="0" w:line="280" w:lineRule="exact"/>
        <w:ind w:right="4111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sz w:val="30"/>
          <w:szCs w:val="30"/>
        </w:rPr>
        <w:t xml:space="preserve">к постановлению Совета Министров Республики Беларусь и Национального банка Республики Беларусь </w:t>
      </w:r>
      <w:r w:rsidRPr="00AC543C">
        <w:rPr>
          <w:rFonts w:ascii="Times New Roman" w:hAnsi="Times New Roman" w:cs="Times New Roman"/>
          <w:sz w:val="30"/>
          <w:szCs w:val="30"/>
        </w:rPr>
        <w:br/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02.07.2025 № 367/19 «Об изменении постановления Совета Министров Республики Беларусь и Национального банка Республики Беларусь от 6 июля 2011 г. № 924/16» </w:t>
      </w:r>
    </w:p>
    <w:p w:rsidR="00AC543C" w:rsidRPr="00AC543C" w:rsidRDefault="00AC543C" w:rsidP="00AC543C">
      <w:pPr>
        <w:spacing w:after="0" w:line="240" w:lineRule="auto"/>
        <w:ind w:right="4819"/>
        <w:jc w:val="both"/>
        <w:rPr>
          <w:rFonts w:ascii="Times New Roman" w:hAnsi="Times New Roman" w:cs="Times New Roman"/>
          <w:b/>
          <w:spacing w:val="-4"/>
          <w:sz w:val="30"/>
          <w:szCs w:val="30"/>
        </w:rPr>
      </w:pP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Совета Министров Республики Беларусь и Национального банка Республики Беларусь от 2 июля 2025 г. № 367/19 «Об изменении постановления Совета Министров Республики Беларусь и Национального банка Республики Беларусь от 6 июля 2011 г. № 924/16»</w:t>
      </w:r>
      <w:r w:rsid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(далее – постановление № </w:t>
      </w:r>
      <w:r w:rsidR="00C46303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367/19</w:t>
      </w:r>
      <w:r w:rsidR="00C46303" w:rsidRPr="00C46303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принято в целях упрощения процессов реализации товаров, подлежащих маркировке унифицированными контрольными знаками, 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недопущения создания очередей в торговых объектах.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Так, постановлением № 367/19 с учетом реализуемых мер по развитию системы маркировки, функциональных возможностей кассового оборудования, поэтапного перехода от маркировки товаров унифицированными контрольными знаками к маркировке средствами идентификации с 1 июля 2025 года упразднена необходимость:</w:t>
      </w:r>
    </w:p>
    <w:p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считывания на кассовом оборудовании информации, содержащейся в унифицированных контрольных знаках, которыми в настоящее время маркируется большинство товаров, в том числе повседневного спроса (масло растительное, кофе, чай, безалкогольные напитки и другие);</w:t>
      </w:r>
    </w:p>
    <w:p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ведения дифференцированного учета в отношении товаров, маркированных унифицированными контрольными знаками;</w:t>
      </w:r>
    </w:p>
    <w:p w:rsidR="00AC543C" w:rsidRPr="00940361" w:rsidRDefault="00AC543C" w:rsidP="00940361">
      <w:pPr>
        <w:pStyle w:val="a3"/>
        <w:numPr>
          <w:ilvl w:val="0"/>
          <w:numId w:val="4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передачи информации о реализации таких товаров в систему контроля кассового оборудования (далее – СККО).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Также с 1 июля 2025 г. постановлением № 367/19 упразднена необходимость по передаче информации в СККО посредством открытого интерфейса программирования приложений (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  <w:lang w:val="en-US"/>
        </w:rPr>
        <w:t>API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), предоставленного РУП «Информационно-издательский центр по налогам и сборам»</w:t>
      </w:r>
      <w:r w:rsidR="00A2121B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при реализации товаров, маркированных унифицированными контрольными знакам:</w:t>
      </w:r>
    </w:p>
    <w:p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субъектов хозяйствования, осуществляющих прием платежа без непосредственного обслуживания </w:t>
      </w:r>
      <w:r w:rsidR="00174E4B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покупателей (потребителей) 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юридическими лицами и индивидуальными предпринимателями, связанного с приемом платежа в свой адрес и (или) адрес третьих 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лиц, через банки, небанковские кредитно-финансовые организации, иные платежные агрегаторы;</w:t>
      </w:r>
    </w:p>
    <w:p w:rsidR="00AC543C" w:rsidRPr="00940361" w:rsidRDefault="00AC543C" w:rsidP="00940361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для специальн</w:t>
      </w:r>
      <w:r w:rsidR="00174E4B">
        <w:rPr>
          <w:rFonts w:ascii="Times New Roman" w:hAnsi="Times New Roman" w:cs="Times New Roman"/>
          <w:color w:val="000000" w:themeColor="text1"/>
          <w:sz w:val="30"/>
          <w:szCs w:val="30"/>
        </w:rPr>
        <w:t>ой</w:t>
      </w:r>
      <w:r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компьютерной системы, используемой для приема платежей при оказании услуг и осуществлении торговли национальным оператором почтовой связи;</w:t>
      </w:r>
    </w:p>
    <w:p w:rsidR="00AC543C" w:rsidRPr="00940361" w:rsidRDefault="002D41A9" w:rsidP="00634E34">
      <w:pPr>
        <w:pStyle w:val="a3"/>
        <w:numPr>
          <w:ilvl w:val="0"/>
          <w:numId w:val="5"/>
        </w:numPr>
        <w:tabs>
          <w:tab w:val="left" w:pos="4962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>для продавцов, реализу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ющих</w:t>
      </w: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товары</w:t>
      </w:r>
      <w:r w:rsidR="007D29DF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2D41A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через платежные агрегаторы</w:t>
      </w:r>
      <w:r w:rsidR="00AC543C" w:rsidRPr="0094036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AC543C" w:rsidRPr="00AC543C" w:rsidRDefault="00AC543C" w:rsidP="00634E34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</w:pPr>
      <w:r w:rsidRPr="00940361">
        <w:rPr>
          <w:rFonts w:ascii="Times New Roman" w:hAnsi="Times New Roman" w:cs="Times New Roman"/>
          <w:b/>
          <w:bCs/>
          <w:i/>
          <w:iCs/>
          <w:color w:val="000000" w:themeColor="text1"/>
          <w:sz w:val="30"/>
          <w:szCs w:val="30"/>
        </w:rPr>
        <w:t>Справочно.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Перечень товаров, подлежащих маркировке унифицированными контрольными знаками, определен постановлением Совета </w:t>
      </w:r>
      <w:r w:rsidRPr="009F0425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>Министров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Республики Беларусь от 29</w:t>
      </w:r>
      <w:r w:rsidR="00396B12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 июля </w:t>
      </w:r>
      <w:r w:rsidRPr="00AC543C">
        <w:rPr>
          <w:rFonts w:ascii="Times New Roman" w:hAnsi="Times New Roman" w:cs="Times New Roman"/>
          <w:i/>
          <w:iCs/>
          <w:color w:val="000000" w:themeColor="text1"/>
          <w:sz w:val="30"/>
          <w:szCs w:val="30"/>
        </w:rPr>
        <w:t xml:space="preserve">2011 № 1030. 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товаров, подлежащих маркировке средствами идентификации (молочная продукция, обувь, шины и отдельные товары легкой промышленности (верхняя одежда, белье столовое, постельное и кухонное), обязанность по сканированию средства идентификации и передаче информации в </w:t>
      </w:r>
      <w:r w:rsidR="00174E4B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СККО</w:t>
      </w:r>
      <w:r w:rsidR="00174E4B" w:rsidRPr="00AC543C" w:rsidDel="00174E4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сохраняется. 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Поскольку большинство моделей нового кассового оборудования, используемого при реализации маркированных товаров, поддерживают функцию извлечения штрихового кода GTIN из средства идентификации, при реализации товаров, маркированных средствами идентификации, </w:t>
      </w:r>
      <w:r w:rsidR="00F8409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возможно будет считывать только </w:t>
      </w:r>
      <w:r w:rsidRPr="00F8409A">
        <w:rPr>
          <w:rFonts w:ascii="Times New Roman" w:hAnsi="Times New Roman" w:cs="Times New Roman"/>
          <w:color w:val="000000" w:themeColor="text1"/>
          <w:sz w:val="30"/>
          <w:szCs w:val="30"/>
        </w:rPr>
        <w:t>средство идентификации,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что позволит упростить процесс торгового обслуживания покупателей, в том числе на кассах самообслуживания. 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полном объеме кассовое оборудование, используемое при реализации товаров, подлежащих маркировке, будет обеспечивать извлечение штрихового кода GTIN из средства идентификации после проведения производителями кассовых суммирующих аппаратов и операторами программных кассовых систем всех необходимых технических мероприятий. </w:t>
      </w:r>
    </w:p>
    <w:p w:rsidR="00AC543C" w:rsidRPr="00AC543C" w:rsidRDefault="00AC543C" w:rsidP="00AC543C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Дополнительно сообщаем, что в связи с отменой требований по считыванию на кассовом оборудовании унифицированных контрольных знаков субъектам торговли необходимо обеспечить донастройку своих учетных систем для снятия требования по их сканированию.</w:t>
      </w:r>
    </w:p>
    <w:p w:rsidR="00AC543C" w:rsidRPr="00C11177" w:rsidRDefault="00AC543C" w:rsidP="00C11177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Постановление № 367/19 вступило в силу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96B1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52D11"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июля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2025 </w:t>
      </w:r>
      <w:r w:rsidR="00D52D1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г. </w:t>
      </w:r>
      <w:r w:rsidRPr="00AC543C">
        <w:rPr>
          <w:rFonts w:ascii="Times New Roman" w:hAnsi="Times New Roman" w:cs="Times New Roman"/>
          <w:color w:val="000000" w:themeColor="text1"/>
          <w:sz w:val="30"/>
          <w:szCs w:val="30"/>
        </w:rPr>
        <w:t>и распространяет свое действие на отношения, возникшие с 1 июля 2025 г.</w:t>
      </w:r>
    </w:p>
    <w:sectPr w:rsidR="00AC543C" w:rsidRPr="00C11177" w:rsidSect="00110EF3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F01" w:rsidRDefault="00FE1F01" w:rsidP="00316780">
      <w:pPr>
        <w:spacing w:after="0" w:line="240" w:lineRule="auto"/>
      </w:pPr>
      <w:r>
        <w:separator/>
      </w:r>
    </w:p>
  </w:endnote>
  <w:endnote w:type="continuationSeparator" w:id="0">
    <w:p w:rsidR="00FE1F01" w:rsidRDefault="00FE1F01" w:rsidP="0031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F01" w:rsidRDefault="00FE1F01" w:rsidP="00316780">
      <w:pPr>
        <w:spacing w:after="0" w:line="240" w:lineRule="auto"/>
      </w:pPr>
      <w:r>
        <w:separator/>
      </w:r>
    </w:p>
  </w:footnote>
  <w:footnote w:type="continuationSeparator" w:id="0">
    <w:p w:rsidR="00FE1F01" w:rsidRDefault="00FE1F01" w:rsidP="0031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110332"/>
      <w:docPartObj>
        <w:docPartGallery w:val="Page Numbers (Top of Page)"/>
        <w:docPartUnique/>
      </w:docPartObj>
    </w:sdtPr>
    <w:sdtContent>
      <w:p w:rsidR="00316780" w:rsidRDefault="00C14704">
        <w:pPr>
          <w:pStyle w:val="a4"/>
          <w:jc w:val="center"/>
        </w:pPr>
        <w:r>
          <w:fldChar w:fldCharType="begin"/>
        </w:r>
        <w:r w:rsidR="00316780">
          <w:instrText>PAGE   \* MERGEFORMAT</w:instrText>
        </w:r>
        <w:r>
          <w:fldChar w:fldCharType="separate"/>
        </w:r>
        <w:r w:rsidR="00791D96">
          <w:rPr>
            <w:noProof/>
          </w:rPr>
          <w:t>2</w:t>
        </w:r>
        <w:r>
          <w:fldChar w:fldCharType="end"/>
        </w:r>
      </w:p>
    </w:sdtContent>
  </w:sdt>
  <w:p w:rsidR="00316780" w:rsidRDefault="0031678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1E5D"/>
    <w:multiLevelType w:val="multilevel"/>
    <w:tmpl w:val="F91A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8F534F"/>
    <w:multiLevelType w:val="hybridMultilevel"/>
    <w:tmpl w:val="6D54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A7A7F"/>
    <w:multiLevelType w:val="hybridMultilevel"/>
    <w:tmpl w:val="535EB5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9090C"/>
    <w:multiLevelType w:val="multilevel"/>
    <w:tmpl w:val="6458DE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779239E"/>
    <w:multiLevelType w:val="hybridMultilevel"/>
    <w:tmpl w:val="230A7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147AA2"/>
    <w:rsid w:val="00020A37"/>
    <w:rsid w:val="000403F3"/>
    <w:rsid w:val="00046E9B"/>
    <w:rsid w:val="000501E4"/>
    <w:rsid w:val="00054FBE"/>
    <w:rsid w:val="00077AC0"/>
    <w:rsid w:val="000852A0"/>
    <w:rsid w:val="00091B18"/>
    <w:rsid w:val="000A3AF6"/>
    <w:rsid w:val="000B37AE"/>
    <w:rsid w:val="001067CC"/>
    <w:rsid w:val="00110EF3"/>
    <w:rsid w:val="00112D6B"/>
    <w:rsid w:val="00113045"/>
    <w:rsid w:val="001165F7"/>
    <w:rsid w:val="00127A6A"/>
    <w:rsid w:val="00135A2C"/>
    <w:rsid w:val="001428C3"/>
    <w:rsid w:val="00142AAA"/>
    <w:rsid w:val="00147AA2"/>
    <w:rsid w:val="00152D2F"/>
    <w:rsid w:val="00154BB7"/>
    <w:rsid w:val="00166558"/>
    <w:rsid w:val="001701F5"/>
    <w:rsid w:val="00173D38"/>
    <w:rsid w:val="00174E4B"/>
    <w:rsid w:val="001864D9"/>
    <w:rsid w:val="00192A84"/>
    <w:rsid w:val="001A4B36"/>
    <w:rsid w:val="001A6C51"/>
    <w:rsid w:val="001B0010"/>
    <w:rsid w:val="001B77A9"/>
    <w:rsid w:val="001C2165"/>
    <w:rsid w:val="001C44B2"/>
    <w:rsid w:val="001D63E2"/>
    <w:rsid w:val="001E189A"/>
    <w:rsid w:val="001E7E7D"/>
    <w:rsid w:val="001F1A1F"/>
    <w:rsid w:val="00201568"/>
    <w:rsid w:val="00207129"/>
    <w:rsid w:val="00211350"/>
    <w:rsid w:val="00216E48"/>
    <w:rsid w:val="002300E9"/>
    <w:rsid w:val="002604B6"/>
    <w:rsid w:val="00277B15"/>
    <w:rsid w:val="00285959"/>
    <w:rsid w:val="002A7059"/>
    <w:rsid w:val="002C7BB6"/>
    <w:rsid w:val="002D41A9"/>
    <w:rsid w:val="002D4D85"/>
    <w:rsid w:val="002E1020"/>
    <w:rsid w:val="002E2ADF"/>
    <w:rsid w:val="00304D28"/>
    <w:rsid w:val="003142E9"/>
    <w:rsid w:val="00316780"/>
    <w:rsid w:val="00320218"/>
    <w:rsid w:val="00327A8F"/>
    <w:rsid w:val="00340B15"/>
    <w:rsid w:val="003444AB"/>
    <w:rsid w:val="003549AD"/>
    <w:rsid w:val="003553CD"/>
    <w:rsid w:val="003554D7"/>
    <w:rsid w:val="00365925"/>
    <w:rsid w:val="00366283"/>
    <w:rsid w:val="00376384"/>
    <w:rsid w:val="00387E5B"/>
    <w:rsid w:val="00396B12"/>
    <w:rsid w:val="003A77A7"/>
    <w:rsid w:val="003A7876"/>
    <w:rsid w:val="003C1040"/>
    <w:rsid w:val="003C2662"/>
    <w:rsid w:val="003E00DF"/>
    <w:rsid w:val="003F60F4"/>
    <w:rsid w:val="00422487"/>
    <w:rsid w:val="004455E2"/>
    <w:rsid w:val="004542D6"/>
    <w:rsid w:val="0046140A"/>
    <w:rsid w:val="0046373D"/>
    <w:rsid w:val="0046452B"/>
    <w:rsid w:val="00466DE8"/>
    <w:rsid w:val="00466FF9"/>
    <w:rsid w:val="00470FCB"/>
    <w:rsid w:val="00492AD1"/>
    <w:rsid w:val="00494BF6"/>
    <w:rsid w:val="004971E6"/>
    <w:rsid w:val="004A716E"/>
    <w:rsid w:val="004B14F6"/>
    <w:rsid w:val="004B2FE0"/>
    <w:rsid w:val="004B4CD6"/>
    <w:rsid w:val="004B61B8"/>
    <w:rsid w:val="004C4344"/>
    <w:rsid w:val="004E4D11"/>
    <w:rsid w:val="005002C8"/>
    <w:rsid w:val="00511607"/>
    <w:rsid w:val="00542CC3"/>
    <w:rsid w:val="005477C8"/>
    <w:rsid w:val="005500EF"/>
    <w:rsid w:val="005527F6"/>
    <w:rsid w:val="00553736"/>
    <w:rsid w:val="00571489"/>
    <w:rsid w:val="0059052B"/>
    <w:rsid w:val="0059590D"/>
    <w:rsid w:val="005969B2"/>
    <w:rsid w:val="005A4DA9"/>
    <w:rsid w:val="005B50C4"/>
    <w:rsid w:val="005C3C71"/>
    <w:rsid w:val="005C63FF"/>
    <w:rsid w:val="005D0565"/>
    <w:rsid w:val="005D52B1"/>
    <w:rsid w:val="005D62A2"/>
    <w:rsid w:val="005E7D0F"/>
    <w:rsid w:val="005F768D"/>
    <w:rsid w:val="005F7CBD"/>
    <w:rsid w:val="006147F3"/>
    <w:rsid w:val="0063301B"/>
    <w:rsid w:val="006346B3"/>
    <w:rsid w:val="00634E34"/>
    <w:rsid w:val="00635974"/>
    <w:rsid w:val="00640A20"/>
    <w:rsid w:val="00645F99"/>
    <w:rsid w:val="006474A9"/>
    <w:rsid w:val="006565B6"/>
    <w:rsid w:val="006608AA"/>
    <w:rsid w:val="00676ABA"/>
    <w:rsid w:val="00685042"/>
    <w:rsid w:val="00693723"/>
    <w:rsid w:val="006B4C2B"/>
    <w:rsid w:val="006B6F35"/>
    <w:rsid w:val="006C36A6"/>
    <w:rsid w:val="006C380D"/>
    <w:rsid w:val="006D048E"/>
    <w:rsid w:val="006D4EE3"/>
    <w:rsid w:val="007202E6"/>
    <w:rsid w:val="00720618"/>
    <w:rsid w:val="00731E0F"/>
    <w:rsid w:val="00734A13"/>
    <w:rsid w:val="0074296D"/>
    <w:rsid w:val="00752866"/>
    <w:rsid w:val="00755F83"/>
    <w:rsid w:val="00766EAD"/>
    <w:rsid w:val="007776BA"/>
    <w:rsid w:val="00791D96"/>
    <w:rsid w:val="007A68E6"/>
    <w:rsid w:val="007B17A5"/>
    <w:rsid w:val="007B32AC"/>
    <w:rsid w:val="007B69F9"/>
    <w:rsid w:val="007D29DF"/>
    <w:rsid w:val="007D3EB2"/>
    <w:rsid w:val="007F323F"/>
    <w:rsid w:val="007F5849"/>
    <w:rsid w:val="007F5B46"/>
    <w:rsid w:val="00812BFB"/>
    <w:rsid w:val="00817060"/>
    <w:rsid w:val="00830E5C"/>
    <w:rsid w:val="00840365"/>
    <w:rsid w:val="00843DBB"/>
    <w:rsid w:val="00851A61"/>
    <w:rsid w:val="008567F1"/>
    <w:rsid w:val="008572E5"/>
    <w:rsid w:val="00865CDE"/>
    <w:rsid w:val="00883019"/>
    <w:rsid w:val="008958C2"/>
    <w:rsid w:val="00896501"/>
    <w:rsid w:val="008A4C9E"/>
    <w:rsid w:val="008B0220"/>
    <w:rsid w:val="008B72BE"/>
    <w:rsid w:val="008C6209"/>
    <w:rsid w:val="008C66D3"/>
    <w:rsid w:val="008D17BB"/>
    <w:rsid w:val="008D3B36"/>
    <w:rsid w:val="008E370E"/>
    <w:rsid w:val="008F45EF"/>
    <w:rsid w:val="009056C5"/>
    <w:rsid w:val="009128E8"/>
    <w:rsid w:val="00940361"/>
    <w:rsid w:val="00942A4F"/>
    <w:rsid w:val="009815F2"/>
    <w:rsid w:val="00994F3C"/>
    <w:rsid w:val="009B28B6"/>
    <w:rsid w:val="009B2A37"/>
    <w:rsid w:val="009D47C9"/>
    <w:rsid w:val="009D4986"/>
    <w:rsid w:val="009E41D3"/>
    <w:rsid w:val="009E5D15"/>
    <w:rsid w:val="009F0425"/>
    <w:rsid w:val="009F47AE"/>
    <w:rsid w:val="00A03B40"/>
    <w:rsid w:val="00A05110"/>
    <w:rsid w:val="00A06333"/>
    <w:rsid w:val="00A2121B"/>
    <w:rsid w:val="00A353FE"/>
    <w:rsid w:val="00A37F3B"/>
    <w:rsid w:val="00A50992"/>
    <w:rsid w:val="00A5213D"/>
    <w:rsid w:val="00A55618"/>
    <w:rsid w:val="00A56757"/>
    <w:rsid w:val="00A719C5"/>
    <w:rsid w:val="00A74BED"/>
    <w:rsid w:val="00A77B0D"/>
    <w:rsid w:val="00A84EC0"/>
    <w:rsid w:val="00A920C3"/>
    <w:rsid w:val="00AA548C"/>
    <w:rsid w:val="00AA6C4A"/>
    <w:rsid w:val="00AA7FC4"/>
    <w:rsid w:val="00AB43D7"/>
    <w:rsid w:val="00AC543C"/>
    <w:rsid w:val="00AD40FC"/>
    <w:rsid w:val="00AD5583"/>
    <w:rsid w:val="00AF7969"/>
    <w:rsid w:val="00B03C36"/>
    <w:rsid w:val="00B03E74"/>
    <w:rsid w:val="00B05058"/>
    <w:rsid w:val="00B20A72"/>
    <w:rsid w:val="00B22DE7"/>
    <w:rsid w:val="00B306CE"/>
    <w:rsid w:val="00B30ED4"/>
    <w:rsid w:val="00B33024"/>
    <w:rsid w:val="00B33780"/>
    <w:rsid w:val="00B3712D"/>
    <w:rsid w:val="00B573F7"/>
    <w:rsid w:val="00B70A4C"/>
    <w:rsid w:val="00B75CCE"/>
    <w:rsid w:val="00B76CF8"/>
    <w:rsid w:val="00B84C49"/>
    <w:rsid w:val="00B91C5E"/>
    <w:rsid w:val="00BB065E"/>
    <w:rsid w:val="00BB18CD"/>
    <w:rsid w:val="00BC7DAC"/>
    <w:rsid w:val="00BD1503"/>
    <w:rsid w:val="00BE4C22"/>
    <w:rsid w:val="00BE7A3A"/>
    <w:rsid w:val="00BF31CB"/>
    <w:rsid w:val="00C05853"/>
    <w:rsid w:val="00C11177"/>
    <w:rsid w:val="00C14704"/>
    <w:rsid w:val="00C17254"/>
    <w:rsid w:val="00C20DE2"/>
    <w:rsid w:val="00C223FF"/>
    <w:rsid w:val="00C2412F"/>
    <w:rsid w:val="00C251F1"/>
    <w:rsid w:val="00C3048B"/>
    <w:rsid w:val="00C43916"/>
    <w:rsid w:val="00C46303"/>
    <w:rsid w:val="00C520A0"/>
    <w:rsid w:val="00C53AEB"/>
    <w:rsid w:val="00C54B87"/>
    <w:rsid w:val="00C56515"/>
    <w:rsid w:val="00C568AD"/>
    <w:rsid w:val="00C62689"/>
    <w:rsid w:val="00C631D9"/>
    <w:rsid w:val="00C66FFF"/>
    <w:rsid w:val="00C67E32"/>
    <w:rsid w:val="00C80D3D"/>
    <w:rsid w:val="00C84697"/>
    <w:rsid w:val="00C9001A"/>
    <w:rsid w:val="00C93219"/>
    <w:rsid w:val="00CA0346"/>
    <w:rsid w:val="00CA4EBC"/>
    <w:rsid w:val="00CB0CA5"/>
    <w:rsid w:val="00CC23B9"/>
    <w:rsid w:val="00CC518A"/>
    <w:rsid w:val="00CC68B7"/>
    <w:rsid w:val="00CD5041"/>
    <w:rsid w:val="00CE0344"/>
    <w:rsid w:val="00CE3F9C"/>
    <w:rsid w:val="00D0104A"/>
    <w:rsid w:val="00D01B68"/>
    <w:rsid w:val="00D17DA5"/>
    <w:rsid w:val="00D26368"/>
    <w:rsid w:val="00D3097F"/>
    <w:rsid w:val="00D37B78"/>
    <w:rsid w:val="00D430CD"/>
    <w:rsid w:val="00D52D11"/>
    <w:rsid w:val="00D56B42"/>
    <w:rsid w:val="00D613EB"/>
    <w:rsid w:val="00D71E9F"/>
    <w:rsid w:val="00D82D12"/>
    <w:rsid w:val="00DB0EF2"/>
    <w:rsid w:val="00DC33F4"/>
    <w:rsid w:val="00DF6802"/>
    <w:rsid w:val="00DF68D1"/>
    <w:rsid w:val="00E01845"/>
    <w:rsid w:val="00E0742C"/>
    <w:rsid w:val="00E218EF"/>
    <w:rsid w:val="00E35921"/>
    <w:rsid w:val="00E35D56"/>
    <w:rsid w:val="00E36C98"/>
    <w:rsid w:val="00E4063A"/>
    <w:rsid w:val="00E406BA"/>
    <w:rsid w:val="00E53203"/>
    <w:rsid w:val="00E63B19"/>
    <w:rsid w:val="00E640F0"/>
    <w:rsid w:val="00E731DA"/>
    <w:rsid w:val="00E7782F"/>
    <w:rsid w:val="00E87F0A"/>
    <w:rsid w:val="00EA0797"/>
    <w:rsid w:val="00EA0C29"/>
    <w:rsid w:val="00EA2156"/>
    <w:rsid w:val="00EC4B82"/>
    <w:rsid w:val="00EC63CB"/>
    <w:rsid w:val="00EC74C7"/>
    <w:rsid w:val="00EE0653"/>
    <w:rsid w:val="00EF329C"/>
    <w:rsid w:val="00EF5F5A"/>
    <w:rsid w:val="00F03209"/>
    <w:rsid w:val="00F16C83"/>
    <w:rsid w:val="00F2041B"/>
    <w:rsid w:val="00F2623F"/>
    <w:rsid w:val="00F40F8B"/>
    <w:rsid w:val="00F454F1"/>
    <w:rsid w:val="00F50C7A"/>
    <w:rsid w:val="00F515BA"/>
    <w:rsid w:val="00F61129"/>
    <w:rsid w:val="00F619D7"/>
    <w:rsid w:val="00F72A7F"/>
    <w:rsid w:val="00F75A7F"/>
    <w:rsid w:val="00F75CA8"/>
    <w:rsid w:val="00F8257E"/>
    <w:rsid w:val="00F8409A"/>
    <w:rsid w:val="00FA12EF"/>
    <w:rsid w:val="00FA2C98"/>
    <w:rsid w:val="00FA6676"/>
    <w:rsid w:val="00FB5AF7"/>
    <w:rsid w:val="00FD02BF"/>
    <w:rsid w:val="00FD0BC7"/>
    <w:rsid w:val="00FD47CE"/>
    <w:rsid w:val="00FD62BE"/>
    <w:rsid w:val="00FE1F01"/>
    <w:rsid w:val="00FF0AFE"/>
    <w:rsid w:val="00FF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01A"/>
    <w:pPr>
      <w:ind w:left="720"/>
      <w:contextualSpacing/>
    </w:pPr>
  </w:style>
  <w:style w:type="paragraph" w:customStyle="1" w:styleId="ConsPlusNormal">
    <w:name w:val="ConsPlusNormal"/>
    <w:qFormat/>
    <w:rsid w:val="006B4C2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6780"/>
  </w:style>
  <w:style w:type="paragraph" w:styleId="a6">
    <w:name w:val="footer"/>
    <w:basedOn w:val="a"/>
    <w:link w:val="a7"/>
    <w:uiPriority w:val="99"/>
    <w:unhideWhenUsed/>
    <w:rsid w:val="00316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6780"/>
  </w:style>
  <w:style w:type="paragraph" w:customStyle="1" w:styleId="Default">
    <w:name w:val="Default"/>
    <w:rsid w:val="003A78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">
    <w:name w:val="Основной текст (2)_"/>
    <w:basedOn w:val="a0"/>
    <w:link w:val="20"/>
    <w:rsid w:val="004971E6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4971E6"/>
    <w:pPr>
      <w:widowControl w:val="0"/>
      <w:spacing w:after="0" w:line="240" w:lineRule="auto"/>
      <w:ind w:left="4420"/>
    </w:pPr>
    <w:rPr>
      <w:rFonts w:ascii="Times New Roman" w:eastAsia="Times New Roman" w:hAnsi="Times New Roman" w:cs="Times New Roman"/>
    </w:rPr>
  </w:style>
  <w:style w:type="paragraph" w:customStyle="1" w:styleId="newncpi0">
    <w:name w:val="newncpi0"/>
    <w:basedOn w:val="a"/>
    <w:rsid w:val="00FD62B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142A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2A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2A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2A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2AA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2AAA"/>
    <w:rPr>
      <w:rFonts w:ascii="Segoe UI" w:hAnsi="Segoe UI" w:cs="Segoe UI"/>
      <w:sz w:val="18"/>
      <w:szCs w:val="18"/>
    </w:rPr>
  </w:style>
  <w:style w:type="character" w:customStyle="1" w:styleId="itemtext">
    <w:name w:val="itemtext"/>
    <w:basedOn w:val="a0"/>
    <w:rsid w:val="00135A2C"/>
  </w:style>
  <w:style w:type="paragraph" w:customStyle="1" w:styleId="breadcrumb-item">
    <w:name w:val="breadcrumb-item"/>
    <w:basedOn w:val="a"/>
    <w:rsid w:val="00A3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A37F3B"/>
    <w:rPr>
      <w:color w:val="0000FF"/>
      <w:u w:val="single"/>
    </w:rPr>
  </w:style>
  <w:style w:type="paragraph" w:customStyle="1" w:styleId="il-text-indent095cm">
    <w:name w:val="il-text-indent_0_95cm"/>
    <w:basedOn w:val="a"/>
    <w:rsid w:val="004E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ord-wrapper">
    <w:name w:val="word-wrapper"/>
    <w:basedOn w:val="a0"/>
    <w:rsid w:val="004E4D11"/>
  </w:style>
  <w:style w:type="paragraph" w:customStyle="1" w:styleId="p-normal">
    <w:name w:val="p-normal"/>
    <w:basedOn w:val="a"/>
    <w:rsid w:val="009D4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f0">
    <w:name w:val="Normal (Web)"/>
    <w:basedOn w:val="a"/>
    <w:uiPriority w:val="99"/>
    <w:unhideWhenUsed/>
    <w:rsid w:val="00511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f1">
    <w:name w:val="Основной текст_"/>
    <w:link w:val="1"/>
    <w:locked/>
    <w:rsid w:val="00D82D12"/>
    <w:rPr>
      <w:sz w:val="29"/>
      <w:szCs w:val="29"/>
      <w:shd w:val="clear" w:color="auto" w:fill="FFFFFF"/>
    </w:rPr>
  </w:style>
  <w:style w:type="paragraph" w:customStyle="1" w:styleId="1">
    <w:name w:val="Основной текст1"/>
    <w:basedOn w:val="a"/>
    <w:link w:val="af1"/>
    <w:rsid w:val="00D82D12"/>
    <w:pPr>
      <w:widowControl w:val="0"/>
      <w:shd w:val="clear" w:color="auto" w:fill="FFFFFF"/>
      <w:spacing w:after="0" w:line="240" w:lineRule="atLeast"/>
    </w:pPr>
    <w:rPr>
      <w:sz w:val="29"/>
      <w:szCs w:val="29"/>
    </w:rPr>
  </w:style>
  <w:style w:type="paragraph" w:styleId="af2">
    <w:name w:val="Body Text"/>
    <w:basedOn w:val="a"/>
    <w:link w:val="af3"/>
    <w:rsid w:val="00B03E7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B03E74"/>
    <w:rPr>
      <w:rFonts w:ascii="Times New Roman" w:eastAsia="Times New Roman" w:hAnsi="Times New Roman" w:cs="Times New Roman"/>
      <w:kern w:val="0"/>
      <w:sz w:val="30"/>
      <w:szCs w:val="24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470FC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70FCB"/>
  </w:style>
  <w:style w:type="character" w:styleId="af6">
    <w:name w:val="Subtle Emphasis"/>
    <w:basedOn w:val="a0"/>
    <w:uiPriority w:val="19"/>
    <w:qFormat/>
    <w:rsid w:val="00EA079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Хохлова Анастасия Владимировна</dc:creator>
  <cp:lastModifiedBy>Хохлова Анастасия Владимировна</cp:lastModifiedBy>
  <cp:revision>2</cp:revision>
  <cp:lastPrinted>2025-07-21T12:50:00Z</cp:lastPrinted>
  <dcterms:created xsi:type="dcterms:W3CDTF">2025-07-23T13:41:00Z</dcterms:created>
  <dcterms:modified xsi:type="dcterms:W3CDTF">2025-07-23T13:41:00Z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