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61A" w:rsidRDefault="0066061A">
      <w:pPr>
        <w:pStyle w:val="newncpi0"/>
        <w:jc w:val="center"/>
        <w:rPr>
          <w:color w:val="000000"/>
          <w14:ligatures w14:val="none"/>
        </w:rPr>
      </w:pPr>
      <w:r>
        <w:rPr>
          <w:color w:val="000000"/>
        </w:rPr>
        <w:t> </w:t>
      </w:r>
    </w:p>
    <w:p w:rsidR="0066061A" w:rsidRDefault="0066061A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ПРЕЗИДЕНТА РЕСПУБЛИКИ БЕЛАРУСЬ</w:t>
      </w:r>
    </w:p>
    <w:p w:rsidR="0066061A" w:rsidRDefault="0066061A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12 октября 2021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389</w:t>
      </w:r>
    </w:p>
    <w:p w:rsidR="0066061A" w:rsidRDefault="0066061A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использовании семейного капитала</w:t>
      </w:r>
    </w:p>
    <w:p w:rsidR="0066061A" w:rsidRDefault="0066061A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66061A" w:rsidRDefault="0066061A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Президента Республики Беларусь</w:t>
      </w:r>
      <w:r>
        <w:rPr>
          <w:color w:val="000000"/>
        </w:rPr>
        <w:t xml:space="preserve"> от 25 октября 2022 г.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</w:t>
      </w:r>
      <w:r>
        <w:rPr>
          <w:color w:val="000000"/>
        </w:rPr>
        <w:t>381 (Национальный правовой Интернет-портал Республики Беларусь, 03.11.2022, 1/20586);</w:t>
      </w:r>
    </w:p>
    <w:p w:rsidR="0066061A" w:rsidRDefault="0066061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февраля 2024 г. № 69 (Национальный правовой Интернет-портал Республики Беларусь, 27.02.2024, 1/21250);</w:t>
      </w:r>
    </w:p>
    <w:p w:rsidR="0066061A" w:rsidRDefault="0066061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октября 2024 г. № 403 (Национальный правовой Интернет-портал Республики Беларусь, 02.11.2024, 1/21629)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6061A" w:rsidRDefault="0066061A">
      <w:pPr>
        <w:pStyle w:val="preamble"/>
        <w:rPr>
          <w:color w:val="000000"/>
        </w:rPr>
      </w:pPr>
      <w:r>
        <w:rPr>
          <w:color w:val="000000"/>
        </w:rPr>
        <w:t xml:space="preserve">В целях совершенствования долгосрочной поддержки многодетных семей </w:t>
      </w:r>
      <w:r>
        <w:rPr>
          <w:rStyle w:val="razr"/>
          <w:color w:val="000000"/>
        </w:rPr>
        <w:t>постановляю:</w:t>
      </w:r>
    </w:p>
    <w:p w:rsidR="0066061A" w:rsidRDefault="0066061A">
      <w:pPr>
        <w:pStyle w:val="point"/>
        <w:rPr>
          <w:color w:val="000000"/>
        </w:rPr>
      </w:pPr>
      <w:r>
        <w:rPr>
          <w:color w:val="000000"/>
        </w:rPr>
        <w:t>1. Исключен.</w:t>
      </w:r>
    </w:p>
    <w:p w:rsidR="0066061A" w:rsidRDefault="0066061A">
      <w:pPr>
        <w:pStyle w:val="point"/>
        <w:rPr>
          <w:color w:val="000000"/>
        </w:rPr>
      </w:pPr>
      <w:bookmarkStart w:id="1" w:name="a7"/>
      <w:bookmarkEnd w:id="1"/>
      <w:r>
        <w:rPr>
          <w:color w:val="000000"/>
        </w:rPr>
        <w:t>2. Внести изменения в указы Президента Республики Беларусь (приложение).</w:t>
      </w:r>
    </w:p>
    <w:p w:rsidR="0066061A" w:rsidRDefault="0066061A">
      <w:pPr>
        <w:pStyle w:val="point"/>
        <w:rPr>
          <w:color w:val="000000"/>
        </w:rPr>
      </w:pPr>
      <w:r>
        <w:rPr>
          <w:color w:val="000000"/>
        </w:rPr>
        <w:t>3. Договоры банковских вкладов (депозитов) «Семейный капитал» физических лиц в рублях, заключенные до вступления в силу настоящего Указа, приведению в соответствие с требованиями настоящего Указа не подлежат и исполняются в соответствии с</w:t>
      </w:r>
      <w:r>
        <w:rPr>
          <w:color w:val="000000"/>
        </w:rPr>
        <w:t> </w:t>
      </w:r>
      <w:r>
        <w:rPr>
          <w:color w:val="000000"/>
        </w:rPr>
        <w:t>Указом Президента Республики Беларусь от 18 сентября 2019 г. № 345.</w:t>
      </w:r>
    </w:p>
    <w:p w:rsidR="0066061A" w:rsidRDefault="0066061A">
      <w:pPr>
        <w:pStyle w:val="point"/>
        <w:rPr>
          <w:color w:val="000000"/>
        </w:rPr>
      </w:pPr>
      <w:bookmarkStart w:id="2" w:name="a35"/>
      <w:bookmarkEnd w:id="2"/>
      <w:r>
        <w:rPr>
          <w:color w:val="000000"/>
        </w:rPr>
        <w:t>4. Совету Министров Республики Беларусь до 1 января 2022 г. обеспечить приведение актов законодательства в соответствие с настоящим Указом и принять иные меры по его реализации.</w:t>
      </w:r>
    </w:p>
    <w:p w:rsidR="0066061A" w:rsidRDefault="0066061A">
      <w:pPr>
        <w:pStyle w:val="point"/>
        <w:rPr>
          <w:color w:val="000000"/>
        </w:rPr>
      </w:pPr>
      <w:r>
        <w:rPr>
          <w:color w:val="000000"/>
        </w:rPr>
        <w:t>5. Настоящий Указ вступает в силу в следующем порядке: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пункты 2 и 3 – с 1 января 2022 г.;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иные положения настоящего Указа – после его официального опубликования.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append1"/>
              <w:rPr>
                <w:color w:val="000000"/>
              </w:rPr>
            </w:pPr>
            <w:bookmarkStart w:id="3" w:name="a6"/>
            <w:bookmarkEnd w:id="3"/>
            <w:r>
              <w:rPr>
                <w:color w:val="000000"/>
              </w:rPr>
              <w:t>Приложение</w:t>
            </w:r>
          </w:p>
          <w:p w:rsidR="0066061A" w:rsidRDefault="0066061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Указу Президента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12.10.2021 № 389</w:t>
            </w:r>
          </w:p>
        </w:tc>
      </w:tr>
    </w:tbl>
    <w:p w:rsidR="0066061A" w:rsidRDefault="0066061A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изменений, вносимых в указы Президента Республики Беларусь</w:t>
      </w:r>
    </w:p>
    <w:p w:rsidR="0066061A" w:rsidRDefault="0066061A">
      <w:pPr>
        <w:pStyle w:val="point"/>
        <w:rPr>
          <w:color w:val="000000"/>
        </w:rPr>
      </w:pPr>
      <w:r>
        <w:rPr>
          <w:color w:val="000000"/>
        </w:rPr>
        <w:lastRenderedPageBreak/>
        <w:t>1. В</w:t>
      </w:r>
      <w:r>
        <w:rPr>
          <w:color w:val="000000"/>
        </w:rPr>
        <w:t xml:space="preserve"> </w:t>
      </w:r>
      <w:r>
        <w:rPr>
          <w:color w:val="000000"/>
        </w:rPr>
        <w:t>перечне административных процедур, осуществляемых государственными органами и иными организациями по заявлениям граждан, утвержденном Указом Президента Республики Беларусь от 26 апреля 2010 г. № 200: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1.1. в пункте 1.1: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графу 1 подпункта 1.1.2 после слова «подпунктах» дополнить цифрами «1.1.2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,»;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дополнить пункт подпунктом 1.1.2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6061A" w:rsidRDefault="0066061A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4072"/>
        <w:gridCol w:w="2325"/>
        <w:gridCol w:w="2325"/>
        <w:gridCol w:w="1890"/>
        <w:gridCol w:w="2107"/>
      </w:tblGrid>
      <w:tr w:rsidR="00000000">
        <w:trPr>
          <w:trHeight w:val="240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«1.1.2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. о </w:t>
            </w:r>
            <w:r>
              <w:rPr>
                <w:color w:val="000000"/>
              </w:rPr>
              <w:t>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 по месту нахождения жилого помещения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 свидетельство о рождении)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</w:t>
            </w:r>
            <w:r>
              <w:rPr>
                <w:color w:val="000000"/>
              </w:rPr>
              <w:t>вания жилым помещением, удостоверенное нотариально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основания для отчуждения </w:t>
            </w:r>
            <w:r>
              <w:rPr>
                <w:color w:val="000000"/>
              </w:rPr>
              <w:lastRenderedPageBreak/>
              <w:t>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единовременно»;</w:t>
            </w:r>
          </w:p>
        </w:tc>
      </w:tr>
    </w:tbl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6061A" w:rsidRDefault="0066061A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40" w:h="11907" w:orient="landscape"/>
          <w:pgMar w:top="567" w:right="289" w:bottom="567" w:left="340" w:header="709" w:footer="709" w:gutter="0"/>
          <w:cols w:space="720"/>
        </w:sectPr>
      </w:pP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1.2. в графе 3 пункта 2.46: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абзац второй дополнить словами «или идентификационная карта гражданина Республики Беларусь»;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абзац седьмой изложить в следующей редакции: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</w:t>
      </w:r>
      <w:r>
        <w:rPr>
          <w:color w:val="000000"/>
        </w:rPr>
        <w:t xml:space="preserve">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родителей»;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1.3. в пункте 2.47: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подпункте 2.47.1: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графу 1 изложить в следующей редакции:</w:t>
      </w:r>
    </w:p>
    <w:p w:rsidR="0066061A" w:rsidRDefault="0066061A">
      <w:pPr>
        <w:pStyle w:val="underpoint"/>
        <w:rPr>
          <w:color w:val="000000"/>
        </w:rPr>
      </w:pPr>
      <w:r>
        <w:rPr>
          <w:rStyle w:val="rednoun"/>
          <w:color w:val="000000"/>
        </w:rPr>
        <w:t>«2.47.1.</w:t>
      </w:r>
      <w:r>
        <w:rPr>
          <w:color w:val="000000"/>
        </w:rPr>
        <w:t> 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графе 3: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абзац четвертый после слов «о состоянии на учете нуждающихся в улучшении жилищных условий» дополнить словами «на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пятом слова «копии документов, подтверждающих» заменить словами «документы, подтверждающие»;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восьмом слова «приобретения жилого помещения –» заменить словами «купли-продажи жилого помещения, удостоверенный нотариально либо оформленный в простой письменной форме, заключение об оценке стоимости жилого помещения, определенной с использованием рыночных методов оценки, –»;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после абзаца восьмого дополнить графу абзацем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об 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</w:t>
      </w:r>
      <w:r>
        <w:rPr>
          <w:color w:val="000000"/>
        </w:rPr>
        <w:t>я, строительство которого осуществлялось по государственному заказу)»;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в абзаце девятом слова «копия зарегистрированного договора» заменить словами «зарегистрированный договор»;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абзац десятый изложить в следующей редакции: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после абзаца десятого дополнить графу абзацем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одиннадцатом слова «используется семейный капитал» заменить словами «используются средства семейного капитала»;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после абзаца одиннадцатого дополнить графу абзацем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«свидетельство о заключении брака – представляется на мать (мачеху), отца (отчима), усыновителя (</w:t>
      </w:r>
      <w:proofErr w:type="spellStart"/>
      <w:r>
        <w:rPr>
          <w:color w:val="000000"/>
        </w:rPr>
        <w:t>удочерителя</w:t>
      </w:r>
      <w:proofErr w:type="spellEnd"/>
      <w:r>
        <w:rPr>
          <w:color w:val="000000"/>
        </w:rPr>
        <w:t>), которые учтены в составе семьи при назначении семейного капитала, если они состоят в браке на дату обращения»;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двенадцатом слова «(представляются на детей, которые не были учтены в составе семьи при назначении семейного капитала)» заменить словами «,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тринадцатом слова «совершеннолетнего члена семьи, обратившегося за досрочным распоряжением средствами семейного капитала, и (или) члена семьи, в отношении которого досрочно используется семейный капитал» заменить словами «члена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абзац четырнадцатый изложить в следующей редакции: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</w:t>
      </w:r>
      <w:r>
        <w:rPr>
          <w:color w:val="000000"/>
        </w:rPr>
        <w:t xml:space="preserve">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подпункте 2.47.2: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графу 1 дополнить словами «Республики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графе 3: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четвертом слова «копия договора» заменить словом «договор»;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после абзаца шестого дополнить графу абзацем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«свидетельство о заключении брака – представляется на мать (мачеху), отца (отчима), усыновителя (</w:t>
      </w:r>
      <w:proofErr w:type="spellStart"/>
      <w:r>
        <w:rPr>
          <w:color w:val="000000"/>
        </w:rPr>
        <w:t>удочерителя</w:t>
      </w:r>
      <w:proofErr w:type="spellEnd"/>
      <w:r>
        <w:rPr>
          <w:color w:val="000000"/>
        </w:rPr>
        <w:t>), которые учтены в составе семьи при назначении семейного капитала, если они состоят в браке на дату обращения»;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седьмом слова «(представляются на детей, в отношении которых заключен договор о подготовке специалиста (рабочего, служащего) на платной основе, если они не были учтены в составе семьи при назначении семейного капитала)» заменить словами «,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(рабочего, служащего) на платной основе и (или) при их обращении за досрочным распоряжением средства</w:t>
      </w:r>
      <w:r>
        <w:rPr>
          <w:color w:val="000000"/>
        </w:rPr>
        <w:t>ми семейного капитала, а также при выделении долей семейного капитала)»;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восьмом слова «совершеннолетнего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(рабочего, служащего) на платной основе» заменить словами «члена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(рабочего, служащего) на платной основе, а также при выделении долей семе</w:t>
      </w:r>
      <w:r>
        <w:rPr>
          <w:color w:val="000000"/>
        </w:rPr>
        <w:t>йного капитала»;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абзац девятый изложить в следующей редакции: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свидетельство о расторжении</w:t>
      </w:r>
      <w:r>
        <w:rPr>
          <w:color w:val="000000"/>
        </w:rPr>
        <w:t xml:space="preserve">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графе 3 подпункта 2.47.3: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после абзаца пятого дополнить графу абзацем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«свидетельство о заключении брака – представляется на мать (мачеху), отца (отчима), усыновителя (</w:t>
      </w:r>
      <w:proofErr w:type="spellStart"/>
      <w:r>
        <w:rPr>
          <w:color w:val="000000"/>
        </w:rPr>
        <w:t>удочерителя</w:t>
      </w:r>
      <w:proofErr w:type="spellEnd"/>
      <w:r>
        <w:rPr>
          <w:color w:val="000000"/>
        </w:rPr>
        <w:t>), которые учтены в составе семьи при назначении семейного капитала, если они состоят в браке на дату обращения»;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 xml:space="preserve">в абзаце шестом слова «(представляются на детей, нуждающихся в получении платных медицинских услуг по заключению врачебно-консультационной комиссии государственной организации здравоохранения, если они не были учтены в составе семьи при назначении семейного капитала)» заменить словами «,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</w:t>
      </w:r>
      <w:r>
        <w:rPr>
          <w:color w:val="000000"/>
        </w:rPr>
        <w:t xml:space="preserve">организации здравоохранения и (или) при </w:t>
      </w:r>
      <w:r>
        <w:rPr>
          <w:color w:val="000000"/>
        </w:rPr>
        <w:lastRenderedPageBreak/>
        <w:t>их обращении за досрочным распоряжением средствами семейного капитала, а также при выделении долей семейного капитала)»;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абзаце седьмом слова «совершеннолетнего 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здравоохранения» заменить словами «члена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</w:t>
      </w:r>
      <w:r>
        <w:rPr>
          <w:color w:val="000000"/>
        </w:rPr>
        <w:t>ссии государственной организации здравоохранения, а также при выделении долей семейного капитала»;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абзац восьмой изложить в следующей редакции: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</w:t>
      </w:r>
      <w:r>
        <w:rPr>
          <w:color w:val="000000"/>
        </w:rPr>
        <w:t xml:space="preserve">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дополнить пункт подпунктом 2.47.4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6061A" w:rsidRDefault="0066061A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7" w:h="16840"/>
          <w:pgMar w:top="567" w:right="1134" w:bottom="567" w:left="1417" w:header="0" w:footer="0" w:gutter="0"/>
          <w:cols w:space="720"/>
        </w:sectPr>
      </w:pP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4072"/>
        <w:gridCol w:w="2325"/>
        <w:gridCol w:w="2325"/>
        <w:gridCol w:w="1890"/>
        <w:gridCol w:w="2107"/>
      </w:tblGrid>
      <w:tr w:rsidR="00000000">
        <w:trPr>
          <w:trHeight w:val="240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«2.47.4.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 по месту назначения семейного капитала или в соответствии с регистрацией по месту жительства (месту пребывания)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или копия решения (выписка из решения) о назначении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индивидуальная программа реабилитации, абилитации инвалида и (или) индивидуальная программа реабилитации, абилитации ребенка-инвалида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личность, и (или) свидетельство о ро</w:t>
            </w:r>
            <w:r>
              <w:rPr>
                <w:color w:val="000000"/>
              </w:rPr>
              <w:t>ждении члена семьи, в отношении которого досрочно используются средства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 xml:space="preserve">), которые </w:t>
            </w:r>
            <w:r>
              <w:rPr>
                <w:color w:val="000000"/>
              </w:rPr>
              <w:lastRenderedPageBreak/>
              <w:t>учтены в составе семьи при назначении семейного капитала, если они состоят в браке на дату обращения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</w:t>
            </w:r>
            <w:r>
              <w:rPr>
                <w:color w:val="000000"/>
              </w:rPr>
              <w:t>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родственные отношения членов семьи (свидетельство о рождении, свидетельство о браке, о п</w:t>
            </w:r>
            <w:r>
              <w:rPr>
                <w:color w:val="000000"/>
              </w:rPr>
              <w:t xml:space="preserve">еремене имени, выписка из решения суда </w:t>
            </w:r>
            <w:r>
              <w:rPr>
                <w:color w:val="000000"/>
              </w:rPr>
              <w:lastRenderedPageBreak/>
              <w:t>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</w:t>
            </w:r>
            <w:r>
              <w:rPr>
                <w:color w:val="000000"/>
              </w:rPr>
              <w:t xml:space="preserve">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приказе о взыскании алиментов, </w:t>
            </w:r>
            <w:r>
              <w:rPr>
                <w:color w:val="000000"/>
              </w:rPr>
              <w:lastRenderedPageBreak/>
              <w:t>Соглашение об уплате</w:t>
            </w:r>
            <w:r>
              <w:rPr>
                <w:color w:val="000000"/>
              </w:rPr>
              <w:t xml:space="preserve">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единовременно»;</w:t>
            </w:r>
          </w:p>
        </w:tc>
      </w:tr>
    </w:tbl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66061A" w:rsidRDefault="0066061A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40" w:h="11907" w:orient="landscape"/>
          <w:pgMar w:top="567" w:right="289" w:bottom="567" w:left="340" w:header="709" w:footer="709" w:gutter="0"/>
          <w:cols w:space="720"/>
        </w:sectPr>
      </w:pP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1.4. в абзаце седьмом графы 3 пункта </w:t>
      </w:r>
      <w:r>
        <w:rPr>
          <w:color w:val="000000"/>
        </w:rPr>
        <w:t>2.48 слова «совершеннолетнему члену семьи или несовершеннолетнему члену семьи в лице его законного представителя – при наличии такого согласия» заменить словами «члену семьи – при наличии такого согласия».</w:t>
      </w:r>
    </w:p>
    <w:p w:rsidR="0066061A" w:rsidRDefault="0066061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В</w:t>
      </w:r>
      <w:r>
        <w:rPr>
          <w:color w:val="000000"/>
        </w:rPr>
        <w:t xml:space="preserve"> </w:t>
      </w:r>
      <w:r>
        <w:rPr>
          <w:color w:val="000000"/>
        </w:rPr>
        <w:t>Положении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утвержденном Указом Президента Республики Беларусь от 9 декабря 2014 г. № 572:</w:t>
      </w:r>
    </w:p>
    <w:p w:rsidR="0066061A" w:rsidRDefault="0066061A">
      <w:pPr>
        <w:pStyle w:val="underpoint"/>
        <w:rPr>
          <w:color w:val="000000"/>
        </w:rPr>
      </w:pPr>
      <w:bookmarkStart w:id="4" w:name="a38"/>
      <w:bookmarkEnd w:id="4"/>
      <w:r>
        <w:rPr>
          <w:color w:val="000000"/>
        </w:rPr>
        <w:t>2.1. пункт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дополнить частью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«Семьи, которым семейный капитал предоставлен в соответствии с Указом Президента Республики Беларусь от 18 сентября 2019 г. № 345 «О семейном капитале», права на предоставление семейного капитала в соответствии с настоящим Указом не имеют.»;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2.2. в пункте 2:</w:t>
      </w:r>
    </w:p>
    <w:p w:rsidR="0066061A" w:rsidRDefault="0066061A">
      <w:pPr>
        <w:pStyle w:val="newncpi"/>
        <w:rPr>
          <w:color w:val="000000"/>
        </w:rPr>
      </w:pPr>
      <w:bookmarkStart w:id="5" w:name="a39"/>
      <w:bookmarkEnd w:id="5"/>
      <w:r>
        <w:rPr>
          <w:color w:val="000000"/>
        </w:rPr>
        <w:t>часть первую дополнить словами «по одному или нескольким направлениям»;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части второй:</w:t>
      </w:r>
    </w:p>
    <w:p w:rsidR="0066061A" w:rsidRDefault="0066061A">
      <w:pPr>
        <w:pStyle w:val="newncpi"/>
        <w:rPr>
          <w:color w:val="000000"/>
        </w:rPr>
      </w:pPr>
      <w:bookmarkStart w:id="6" w:name="a40"/>
      <w:bookmarkEnd w:id="6"/>
      <w:r>
        <w:rPr>
          <w:color w:val="000000"/>
        </w:rPr>
        <w:t>в абзаце первом слова «по одному или нескольким направлениям» заменить словом «на»;</w:t>
      </w:r>
    </w:p>
    <w:p w:rsidR="0066061A" w:rsidRDefault="0066061A">
      <w:pPr>
        <w:pStyle w:val="newncpi"/>
        <w:rPr>
          <w:color w:val="000000"/>
        </w:rPr>
      </w:pPr>
      <w:bookmarkStart w:id="7" w:name="a41"/>
      <w:bookmarkEnd w:id="7"/>
      <w:r>
        <w:rPr>
          <w:color w:val="000000"/>
        </w:rPr>
        <w:t>после абзаца четвертого дополнить часть абзацем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«приобретение товаров, предназначенных для социальной реабилитации и интеграции инвалидов в общество;»;</w:t>
      </w:r>
    </w:p>
    <w:p w:rsidR="0066061A" w:rsidRDefault="0066061A">
      <w:pPr>
        <w:pStyle w:val="newncpi"/>
        <w:rPr>
          <w:color w:val="000000"/>
        </w:rPr>
      </w:pPr>
      <w:bookmarkStart w:id="8" w:name="a42"/>
      <w:bookmarkEnd w:id="8"/>
      <w:r>
        <w:rPr>
          <w:color w:val="000000"/>
        </w:rPr>
        <w:t>часть третью изложить в следующей редакции: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«Досрочно (независимо от времени, прошедшего с даты назначения семейного капитала) средства семейного капитала могут быть использованы на: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(реконструкцию)*,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членом (членами) семьи, состоящи</w:t>
      </w:r>
      <w:r>
        <w:rPr>
          <w:color w:val="000000"/>
        </w:rPr>
        <w:t>м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займа;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получение на платной основе членом (членами) семьи высшего образования I 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формуляр лекарственных средств;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стоматологические услуги (протезирование зубов, дентальная имплантация с последующим протезированием, ортодонтическая коррекция прикуса);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приобретение членом (членами) семьи либо члену (членам) семьи, которые являются инвалидами, в том числе детьми-инвалидами в возрасте 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приложению.</w:t>
      </w:r>
    </w:p>
    <w:p w:rsidR="0066061A" w:rsidRDefault="0066061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66061A" w:rsidRDefault="0066061A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* Строительство (реконструкция):</w:t>
      </w:r>
    </w:p>
    <w:p w:rsidR="0066061A" w:rsidRDefault="0066061A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66061A" w:rsidRDefault="0066061A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одноквартирного жилого дома или квартиры в блокированном жилом доме – подрядным либо хозяйственным способом.</w:t>
      </w:r>
    </w:p>
    <w:p w:rsidR="0066061A" w:rsidRDefault="0066061A">
      <w:pPr>
        <w:pStyle w:val="snoski"/>
        <w:spacing w:before="160" w:after="240"/>
        <w:ind w:firstLine="567"/>
        <w:rPr>
          <w:color w:val="000000"/>
        </w:rPr>
      </w:pPr>
      <w:r>
        <w:rPr>
          <w:color w:val="000000"/>
        </w:rPr>
        <w:t>Для целей настоящего Указа термин «реконструкция» используется в значении, определенном в Законе Республики Беларусь от 5 июля 2004 г. № 300-З «Об архитектурной, градостроительной и строительной деятельности в Республике Беларусь».»;</w:t>
      </w:r>
    </w:p>
    <w:p w:rsidR="0066061A" w:rsidRDefault="0066061A">
      <w:pPr>
        <w:pStyle w:val="newncpi"/>
        <w:rPr>
          <w:color w:val="000000"/>
        </w:rPr>
      </w:pPr>
      <w:bookmarkStart w:id="9" w:name="a43"/>
      <w:bookmarkEnd w:id="9"/>
      <w:r>
        <w:rPr>
          <w:color w:val="000000"/>
        </w:rPr>
        <w:t>после части третьей дополнить пункт частью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«По направлениям, указанным в абзаце втором части третьей настоящего пункта, средства семейного капитала могут быть использованы досрочно на: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волеизъявлении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 – если граждане в установленном порядке направлены на строительство (реконструкцию);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приобретение: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жилого помещения, доли (долей) в праве собственности на него – в пределах их рыночной стоимости;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одноквартирных жилых домов, квартир в блокированных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 г. – в государственный информационный ресурс «Единый реестр пустующих домов»;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доли 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 помещения, строительство которого осуществлялось по государственному заказу).»;</w:t>
      </w:r>
    </w:p>
    <w:p w:rsidR="0066061A" w:rsidRDefault="0066061A">
      <w:pPr>
        <w:pStyle w:val="newncpi"/>
        <w:rPr>
          <w:color w:val="000000"/>
        </w:rPr>
      </w:pPr>
      <w:bookmarkStart w:id="10" w:name="a44"/>
      <w:bookmarkEnd w:id="10"/>
      <w:r>
        <w:rPr>
          <w:color w:val="000000"/>
        </w:rPr>
        <w:t>в части четвертой слова «частью третьей» заменить словами «частями третьей и четвертой»;</w:t>
      </w:r>
    </w:p>
    <w:p w:rsidR="0066061A" w:rsidRDefault="0066061A">
      <w:pPr>
        <w:pStyle w:val="underpoint"/>
        <w:rPr>
          <w:color w:val="000000"/>
        </w:rPr>
      </w:pPr>
      <w:bookmarkStart w:id="11" w:name="a45"/>
      <w:bookmarkEnd w:id="11"/>
      <w:r>
        <w:rPr>
          <w:color w:val="000000"/>
        </w:rPr>
        <w:t>2.3. часть первую пункта 3 дополнить словами «, и на момент усыновления (удочерения) он (они) не являлся (не являлись) пасынком или падчерицей (пасынками или падчерицами) лица, усыновившего (удочерившего) его (их)»;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2.4. в пункте 4:</w:t>
      </w:r>
    </w:p>
    <w:p w:rsidR="0066061A" w:rsidRDefault="0066061A">
      <w:pPr>
        <w:pStyle w:val="newncpi"/>
        <w:rPr>
          <w:color w:val="000000"/>
        </w:rPr>
      </w:pPr>
      <w:bookmarkStart w:id="12" w:name="a46"/>
      <w:bookmarkEnd w:id="12"/>
      <w:r>
        <w:rPr>
          <w:color w:val="000000"/>
        </w:rPr>
        <w:t>после части первой дополнить пункт частью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«Состав семьи для предоставления права на назначение семейного капитала устанавливается Советом Министров Республики Беларусь.»;</w:t>
      </w:r>
    </w:p>
    <w:p w:rsidR="0066061A" w:rsidRDefault="0066061A">
      <w:pPr>
        <w:pStyle w:val="newncpi"/>
        <w:rPr>
          <w:color w:val="000000"/>
        </w:rPr>
      </w:pPr>
      <w:bookmarkStart w:id="13" w:name="a47"/>
      <w:bookmarkEnd w:id="13"/>
      <w:r>
        <w:rPr>
          <w:color w:val="000000"/>
        </w:rPr>
        <w:t>части вторую–пятую исключить;</w:t>
      </w:r>
    </w:p>
    <w:p w:rsidR="0066061A" w:rsidRDefault="0066061A">
      <w:pPr>
        <w:pStyle w:val="underpoint"/>
        <w:rPr>
          <w:color w:val="000000"/>
        </w:rPr>
      </w:pPr>
      <w:bookmarkStart w:id="14" w:name="a48"/>
      <w:bookmarkEnd w:id="14"/>
      <w:r>
        <w:rPr>
          <w:color w:val="000000"/>
        </w:rPr>
        <w:t>2.5. из части второй пункта 6 слова «в соответствии с частью третьей пункта 7 настоящего Положения» исключить;</w:t>
      </w:r>
    </w:p>
    <w:p w:rsidR="0066061A" w:rsidRDefault="0066061A">
      <w:pPr>
        <w:pStyle w:val="underpoint"/>
        <w:rPr>
          <w:color w:val="000000"/>
        </w:rPr>
      </w:pPr>
      <w:bookmarkStart w:id="15" w:name="a49"/>
      <w:bookmarkEnd w:id="15"/>
      <w:r>
        <w:rPr>
          <w:color w:val="000000"/>
        </w:rPr>
        <w:t>2.6. пункт 7 изложить в следующей редакции:</w:t>
      </w:r>
    </w:p>
    <w:p w:rsidR="0066061A" w:rsidRDefault="0066061A">
      <w:pPr>
        <w:pStyle w:val="point"/>
        <w:rPr>
          <w:color w:val="000000"/>
        </w:rPr>
      </w:pPr>
      <w:r>
        <w:rPr>
          <w:rStyle w:val="rednoun"/>
          <w:color w:val="000000"/>
        </w:rPr>
        <w:t>«7.</w:t>
      </w:r>
      <w:r>
        <w:rPr>
          <w:color w:val="000000"/>
        </w:rPr>
        <w:t>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При определении права на распоряжение средствами семейного капитала (в том числе досрочное) и на их использование в соответствии с пунктом 2 настоящего Положения состав семьи определяется на дату подачи заявления о распоряжении средствами семейного капитала (в том числе досрочном).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Состав семьи для предоставления права на распоряжение средствами семейного капитала (в том числе досрочное) и на их использование в соответствии с пунктом 2 настоящего Положения устанавливается Советом Министров Республики Беларусь.»;</w:t>
      </w:r>
    </w:p>
    <w:p w:rsidR="0066061A" w:rsidRDefault="0066061A">
      <w:pPr>
        <w:pStyle w:val="underpoint"/>
        <w:rPr>
          <w:color w:val="000000"/>
        </w:rPr>
      </w:pPr>
      <w:bookmarkStart w:id="16" w:name="a50"/>
      <w:bookmarkEnd w:id="16"/>
      <w:r>
        <w:rPr>
          <w:color w:val="000000"/>
        </w:rPr>
        <w:t>2.7. пункт 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изложить в следующей редакции:</w:t>
      </w:r>
    </w:p>
    <w:p w:rsidR="0066061A" w:rsidRDefault="0066061A">
      <w:pPr>
        <w:pStyle w:val="point"/>
        <w:rPr>
          <w:color w:val="000000"/>
        </w:rPr>
      </w:pPr>
      <w:r>
        <w:rPr>
          <w:rStyle w:val="rednoun"/>
          <w:color w:val="000000"/>
        </w:rPr>
        <w:t>«7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Лица, которым местными исполнительными и распорядительными органами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любого члена семьи, указанного в решении о распоряжении средствами семейного капитала,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части второй пункта 2 настоящего Положения;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члена (членов) семьи, указанного (указанных) в решении о досрочном распоряжении средствами семейного капитала, по предусмотренному в этом решении направлению использования.»;</w:t>
      </w:r>
    </w:p>
    <w:p w:rsidR="0066061A" w:rsidRDefault="0066061A">
      <w:pPr>
        <w:pStyle w:val="underpoint"/>
        <w:rPr>
          <w:color w:val="000000"/>
        </w:rPr>
      </w:pPr>
      <w:bookmarkStart w:id="17" w:name="a51"/>
      <w:bookmarkEnd w:id="17"/>
      <w:r>
        <w:rPr>
          <w:color w:val="000000"/>
        </w:rPr>
        <w:t>2.8. дополнить Положение пунктом 7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следующего содержания:</w:t>
      </w:r>
    </w:p>
    <w:p w:rsidR="0066061A" w:rsidRDefault="0066061A">
      <w:pPr>
        <w:pStyle w:val="point"/>
        <w:rPr>
          <w:color w:val="000000"/>
        </w:rPr>
      </w:pPr>
      <w:r>
        <w:rPr>
          <w:rStyle w:val="rednoun"/>
          <w:color w:val="000000"/>
        </w:rPr>
        <w:t>«7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При приобретении с использованием средств семейного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жилого помещения путем строительства 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части первой настоящего пункта, с разрешения местного исполнительного и распорядительного органа по месту нахождения жилого</w:t>
      </w:r>
      <w:r>
        <w:rPr>
          <w:color w:val="000000"/>
        </w:rPr>
        <w:t xml:space="preserve"> помещения.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Ограничение (обременение) прав на приобретенные с использованием средств семейного капитала жилое помещение, долю (доли) в праве собственности на него не возникает (не регистрируется) при 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жилого помещения, доли (долей) в праве собственности на него, и выплаты процентов за пользование этим кредитом.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использованием средств семейного капитала до истечения 5 лет со дня государственной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собственности на него возникает (регистрируется) со дня погашения задолженности по кредиту до истечения срока, устано</w:t>
      </w:r>
      <w:r>
        <w:rPr>
          <w:color w:val="000000"/>
        </w:rPr>
        <w:t>вленного в части первой настоящего пункта.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Запрет на отчуждение жилых помещений, приобретенных с использованием средств семейного капитала, в течение 5 лет со дня государственной регистрации права собственности на них, установленный в настоящем пункте, не распространяется на решения о досрочном распоряжении средствами семейного капитала местных исполнительных и распорядительных органов, принятые до 1 января 2022 г., если право собственности на такие жилые помещения зарегистрировано в 2020–2021 годах.»;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2.9. в пункте 12:</w:t>
      </w:r>
    </w:p>
    <w:p w:rsidR="0066061A" w:rsidRDefault="0066061A">
      <w:pPr>
        <w:pStyle w:val="newncpi"/>
        <w:rPr>
          <w:color w:val="000000"/>
        </w:rPr>
      </w:pPr>
      <w:bookmarkStart w:id="18" w:name="a52"/>
      <w:bookmarkEnd w:id="18"/>
      <w:r>
        <w:rPr>
          <w:color w:val="000000"/>
        </w:rPr>
        <w:t>абзац пятый изложить в следующей редакции: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«обеспечивает ежегодное направление прибыли, полученной от управления средствами семейного капитала:»;</w:t>
      </w:r>
    </w:p>
    <w:p w:rsidR="0066061A" w:rsidRDefault="0066061A">
      <w:pPr>
        <w:pStyle w:val="newncpi"/>
        <w:rPr>
          <w:color w:val="000000"/>
        </w:rPr>
      </w:pPr>
      <w:bookmarkStart w:id="19" w:name="a53"/>
      <w:bookmarkEnd w:id="19"/>
      <w:r>
        <w:rPr>
          <w:color w:val="000000"/>
        </w:rPr>
        <w:t>после абзаца пятого дополнить пункт абзацами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«в специальный фонд Банка развития, предназначенный для накопления части доходов, сформированных за счет управления средствами семейного капитала (далее – специальный фонд), – в порядке и размерах, установленных наблюдательным советом Банка развития по согласованию с Министерством финансов, для последующего перечисления этих средств в республиканский бюджет. Формирование специального фонда производится в белорусских рублях с последующей конвертацией средств в доллары США в порядке, определенном Национальным</w:t>
      </w:r>
      <w:r>
        <w:rPr>
          <w:color w:val="000000"/>
        </w:rPr>
        <w:t xml:space="preserve"> банком. Прибыль, направленная в специальный фонд, освобождается с 1 января 2019 г. от налогообложения налогом на прибыль;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республиканский бюджет – в оставшейся части;»;</w:t>
      </w:r>
    </w:p>
    <w:p w:rsidR="0066061A" w:rsidRDefault="0066061A">
      <w:pPr>
        <w:pStyle w:val="underpoint"/>
        <w:rPr>
          <w:color w:val="000000"/>
        </w:rPr>
      </w:pPr>
      <w:bookmarkStart w:id="20" w:name="a54"/>
      <w:bookmarkEnd w:id="20"/>
      <w:r>
        <w:rPr>
          <w:color w:val="000000"/>
        </w:rPr>
        <w:t>2.10. часть вторую пункта 16 после слова «налагается,» дополнить словами «обращение взыскания в бесспорном порядке не производится,»;</w:t>
      </w:r>
    </w:p>
    <w:p w:rsidR="0066061A" w:rsidRDefault="0066061A">
      <w:pPr>
        <w:pStyle w:val="underpoint"/>
        <w:rPr>
          <w:color w:val="000000"/>
        </w:rPr>
      </w:pPr>
      <w:bookmarkStart w:id="21" w:name="a55"/>
      <w:bookmarkEnd w:id="21"/>
      <w:r>
        <w:rPr>
          <w:color w:val="000000"/>
        </w:rPr>
        <w:t>2.11. дополнить Положение приложением (прилагается).</w:t>
      </w:r>
    </w:p>
    <w:p w:rsidR="0066061A" w:rsidRDefault="0066061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В</w:t>
      </w:r>
      <w:r>
        <w:rPr>
          <w:color w:val="000000"/>
        </w:rPr>
        <w:t xml:space="preserve"> </w:t>
      </w:r>
      <w:r>
        <w:rPr>
          <w:color w:val="000000"/>
        </w:rPr>
        <w:t>Указе Президента Республики Беларусь от 18 сентября 2019 г. № 345 «О семейном капитале»: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3.1. в подпункте 1.1 пункта 1:</w:t>
      </w:r>
    </w:p>
    <w:p w:rsidR="0066061A" w:rsidRDefault="0066061A">
      <w:pPr>
        <w:pStyle w:val="newncpi"/>
        <w:rPr>
          <w:color w:val="000000"/>
        </w:rPr>
      </w:pPr>
      <w:bookmarkStart w:id="22" w:name="a15"/>
      <w:bookmarkEnd w:id="22"/>
      <w:r>
        <w:rPr>
          <w:color w:val="000000"/>
        </w:rPr>
        <w:t>в части второй: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слова «за предыдущий год» исключить;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дополнить часть предложением следующего содержания: «При этом применяется индекс потребительских цен за предыдущий год по отношению к предшествующему ему году.»;</w:t>
      </w:r>
    </w:p>
    <w:p w:rsidR="0066061A" w:rsidRDefault="0066061A">
      <w:pPr>
        <w:pStyle w:val="newncpi"/>
        <w:rPr>
          <w:color w:val="000000"/>
        </w:rPr>
      </w:pPr>
      <w:bookmarkStart w:id="23" w:name="a16"/>
      <w:bookmarkEnd w:id="23"/>
      <w:r>
        <w:rPr>
          <w:color w:val="000000"/>
        </w:rPr>
        <w:t>после части второй дополнить подпункт частью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«При индексации семейного капитала его размер определяется в целых единицах с округлением последней значащей цифры до ноля или 5 в сторону увеличения (цифры после запятой не учитываются).»;</w:t>
      </w:r>
    </w:p>
    <w:p w:rsidR="0066061A" w:rsidRDefault="0066061A">
      <w:pPr>
        <w:pStyle w:val="underpoint"/>
        <w:rPr>
          <w:color w:val="000000"/>
        </w:rPr>
      </w:pPr>
      <w:bookmarkStart w:id="24" w:name="a17"/>
      <w:bookmarkEnd w:id="24"/>
      <w:r>
        <w:rPr>
          <w:color w:val="000000"/>
        </w:rPr>
        <w:t>3.2. пункт 2 после слова «капитала» дополнить словами «при рождении (усыновлении, удочерении) в 2020–2024 годах третьего или последующих детей»;</w:t>
      </w:r>
    </w:p>
    <w:p w:rsidR="0066061A" w:rsidRDefault="0066061A">
      <w:pPr>
        <w:pStyle w:val="underpoint"/>
        <w:rPr>
          <w:color w:val="000000"/>
        </w:rPr>
      </w:pPr>
      <w:r>
        <w:rPr>
          <w:color w:val="000000"/>
        </w:rPr>
        <w:t>3.3. в</w:t>
      </w:r>
      <w:r>
        <w:rPr>
          <w:color w:val="000000"/>
        </w:rPr>
        <w:t xml:space="preserve"> </w:t>
      </w:r>
      <w:r>
        <w:rPr>
          <w:color w:val="000000"/>
        </w:rPr>
        <w:t>Положении о предоставлении семейного капитала, утвержденном Указом:</w:t>
      </w:r>
    </w:p>
    <w:p w:rsidR="0066061A" w:rsidRDefault="0066061A">
      <w:pPr>
        <w:pStyle w:val="newncpi"/>
        <w:rPr>
          <w:color w:val="000000"/>
        </w:rPr>
      </w:pPr>
      <w:bookmarkStart w:id="25" w:name="a18"/>
      <w:bookmarkEnd w:id="25"/>
      <w:r>
        <w:rPr>
          <w:color w:val="000000"/>
        </w:rPr>
        <w:lastRenderedPageBreak/>
        <w:t>название и пункт 1 дополнить словами «при рождении (усыновлении, удочерении) в 2020–2024 годах третьего или последующих детей»;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пункте 2:</w:t>
      </w:r>
    </w:p>
    <w:p w:rsidR="0066061A" w:rsidRDefault="0066061A">
      <w:pPr>
        <w:pStyle w:val="newncpi"/>
        <w:rPr>
          <w:color w:val="000000"/>
        </w:rPr>
      </w:pPr>
      <w:bookmarkStart w:id="26" w:name="a19"/>
      <w:bookmarkEnd w:id="26"/>
      <w:r>
        <w:rPr>
          <w:color w:val="000000"/>
        </w:rPr>
        <w:t>часть первую дополнить словами «по одному или нескольким направлениям»;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части второй:</w:t>
      </w:r>
    </w:p>
    <w:p w:rsidR="0066061A" w:rsidRDefault="0066061A">
      <w:pPr>
        <w:pStyle w:val="newncpi"/>
        <w:rPr>
          <w:color w:val="000000"/>
        </w:rPr>
      </w:pPr>
      <w:bookmarkStart w:id="27" w:name="a20"/>
      <w:bookmarkEnd w:id="27"/>
      <w:r>
        <w:rPr>
          <w:color w:val="000000"/>
        </w:rPr>
        <w:t>в абзаце первом слова «по одному или нескольким направлениям» заменить словом «на»;</w:t>
      </w:r>
    </w:p>
    <w:p w:rsidR="0066061A" w:rsidRDefault="0066061A">
      <w:pPr>
        <w:pStyle w:val="newncpi"/>
        <w:rPr>
          <w:color w:val="000000"/>
        </w:rPr>
      </w:pPr>
      <w:bookmarkStart w:id="28" w:name="a21"/>
      <w:bookmarkEnd w:id="28"/>
      <w:r>
        <w:rPr>
          <w:color w:val="000000"/>
        </w:rPr>
        <w:t>после абзаца четвертого дополнить часть абзацем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«приобретение товаров, предназначенных для социальной реабилитации и интеграции инвалидов в общество;»;</w:t>
      </w:r>
    </w:p>
    <w:p w:rsidR="0066061A" w:rsidRDefault="0066061A">
      <w:pPr>
        <w:pStyle w:val="newncpi"/>
        <w:rPr>
          <w:color w:val="000000"/>
        </w:rPr>
      </w:pPr>
      <w:bookmarkStart w:id="29" w:name="a22"/>
      <w:bookmarkEnd w:id="29"/>
      <w:r>
        <w:rPr>
          <w:color w:val="000000"/>
        </w:rPr>
        <w:t>часть третью изложить в следующей редакции: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«Досрочно (независимо от времени, прошедшего с даты назначения семейного капитала) средства семейного капитала могут быть использованы на: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(реконструкцию)*,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членом (членами) семьи, состоящи</w:t>
      </w:r>
      <w:r>
        <w:rPr>
          <w:color w:val="000000"/>
        </w:rPr>
        <w:t>м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займа;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получение на платной основе членом (членами) семьи высшего образования I 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формуляр лекарственных средств;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стоматологические услуги (протезирование зубов, дентальная имплантация с последующим протезированием, ортодонтическая коррекция прикуса);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приобретение членом (членами) семьи либо члену (членам) семьи, которые являются инвалидами, в том числе детьми-инвалидами в возрасте 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приложению.</w:t>
      </w:r>
    </w:p>
    <w:p w:rsidR="0066061A" w:rsidRDefault="0066061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66061A" w:rsidRDefault="0066061A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* Строительство (реконструкция):</w:t>
      </w:r>
    </w:p>
    <w:p w:rsidR="0066061A" w:rsidRDefault="0066061A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66061A" w:rsidRDefault="0066061A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одноквартирного жилого дома или квартиры в блокированном жилом доме – подрядным либо хозяйственным способом.</w:t>
      </w:r>
    </w:p>
    <w:p w:rsidR="0066061A" w:rsidRDefault="0066061A">
      <w:pPr>
        <w:pStyle w:val="snoski"/>
        <w:spacing w:before="160" w:after="240"/>
        <w:ind w:firstLine="567"/>
        <w:rPr>
          <w:color w:val="000000"/>
        </w:rPr>
      </w:pPr>
      <w:r>
        <w:rPr>
          <w:color w:val="000000"/>
        </w:rPr>
        <w:lastRenderedPageBreak/>
        <w:t>Для целей настоящего Указа термин «реконструкция» используется в значении, определенном в Законе Республики Беларусь от 5 июля 2004 г. № 300-З «Об архитектурной, градостроительной и строительной деятельности в Республике Беларусь».»;</w:t>
      </w:r>
    </w:p>
    <w:p w:rsidR="0066061A" w:rsidRDefault="0066061A">
      <w:pPr>
        <w:pStyle w:val="newncpi"/>
        <w:rPr>
          <w:color w:val="000000"/>
        </w:rPr>
      </w:pPr>
      <w:bookmarkStart w:id="30" w:name="a23"/>
      <w:bookmarkEnd w:id="30"/>
      <w:r>
        <w:rPr>
          <w:color w:val="000000"/>
        </w:rPr>
        <w:t>после части третьей дополнить пункт частью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«По направлениям, указанным в абзаце втором части третьей настоящего пункта, средства семейного капитала могут быть использованы досрочно на: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волеизъявлении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 – если граждане в установленном порядке направлены на строительство (реконструкцию);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приобретение: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жилого помещения, доли (долей) в праве собственности на него – в пределах их рыночной стоимости;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одноквартирных жилых домов, квартир в блокированных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 г. – в государственный информационный ресурс «Единый реестр пустующих домов»;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доли 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 помещения, строительство которого осуществлялось по государственному заказу).»;</w:t>
      </w:r>
    </w:p>
    <w:p w:rsidR="0066061A" w:rsidRDefault="0066061A">
      <w:pPr>
        <w:pStyle w:val="newncpi"/>
        <w:rPr>
          <w:color w:val="000000"/>
        </w:rPr>
      </w:pPr>
      <w:bookmarkStart w:id="31" w:name="a24"/>
      <w:bookmarkEnd w:id="31"/>
      <w:r>
        <w:rPr>
          <w:color w:val="000000"/>
        </w:rPr>
        <w:t>в части четвертой слова «частью третьей» заменить словами «частями третьей и четвертой»;</w:t>
      </w:r>
    </w:p>
    <w:p w:rsidR="0066061A" w:rsidRDefault="0066061A">
      <w:pPr>
        <w:pStyle w:val="newncpi"/>
        <w:rPr>
          <w:color w:val="000000"/>
        </w:rPr>
      </w:pPr>
      <w:bookmarkStart w:id="32" w:name="a25"/>
      <w:bookmarkEnd w:id="32"/>
      <w:r>
        <w:rPr>
          <w:color w:val="000000"/>
        </w:rPr>
        <w:t>часть первую пункта 3 дополнить словами «, и на момент усыновления (удочерения) он (они) не являлся (не </w:t>
      </w:r>
      <w:r>
        <w:rPr>
          <w:color w:val="000000"/>
        </w:rPr>
        <w:t>являлись) пасынком или падчерицей (пасынками или падчерицами) лица, усыновившего (удочерившего) его (их)»;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пункте 4:</w:t>
      </w:r>
    </w:p>
    <w:p w:rsidR="0066061A" w:rsidRDefault="0066061A">
      <w:pPr>
        <w:pStyle w:val="newncpi"/>
        <w:rPr>
          <w:color w:val="000000"/>
        </w:rPr>
      </w:pPr>
      <w:bookmarkStart w:id="33" w:name="a26"/>
      <w:bookmarkEnd w:id="33"/>
      <w:r>
        <w:rPr>
          <w:color w:val="000000"/>
        </w:rPr>
        <w:t>после части первой дополнить пункт частью следующего содержания: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«Состав семьи для предоставления права на назначение семейного капитала устанавливается Советом Министров Республики Беларусь.»;</w:t>
      </w:r>
    </w:p>
    <w:p w:rsidR="0066061A" w:rsidRDefault="0066061A">
      <w:pPr>
        <w:pStyle w:val="newncpi"/>
        <w:rPr>
          <w:color w:val="000000"/>
        </w:rPr>
      </w:pPr>
      <w:bookmarkStart w:id="34" w:name="a27"/>
      <w:bookmarkEnd w:id="34"/>
      <w:r>
        <w:rPr>
          <w:color w:val="000000"/>
        </w:rPr>
        <w:t>части вторую–пятую исключить;</w:t>
      </w:r>
    </w:p>
    <w:p w:rsidR="0066061A" w:rsidRDefault="0066061A">
      <w:pPr>
        <w:pStyle w:val="newncpi"/>
        <w:rPr>
          <w:color w:val="000000"/>
        </w:rPr>
      </w:pPr>
      <w:bookmarkStart w:id="35" w:name="a28"/>
      <w:bookmarkEnd w:id="35"/>
      <w:r>
        <w:rPr>
          <w:color w:val="000000"/>
        </w:rPr>
        <w:t>из части второй пункта 6 слова «в соответствии с частью третьей пункта 7 настоящего Положения» исключить;</w:t>
      </w:r>
    </w:p>
    <w:p w:rsidR="0066061A" w:rsidRDefault="0066061A">
      <w:pPr>
        <w:pStyle w:val="newncpi"/>
        <w:rPr>
          <w:color w:val="000000"/>
        </w:rPr>
      </w:pPr>
      <w:bookmarkStart w:id="36" w:name="a29"/>
      <w:bookmarkEnd w:id="36"/>
      <w:r>
        <w:rPr>
          <w:color w:val="000000"/>
        </w:rPr>
        <w:t>пункт 7 изложить в следующей редакции:</w:t>
      </w:r>
    </w:p>
    <w:p w:rsidR="0066061A" w:rsidRDefault="0066061A">
      <w:pPr>
        <w:pStyle w:val="point"/>
        <w:rPr>
          <w:color w:val="000000"/>
        </w:rPr>
      </w:pPr>
      <w:r>
        <w:rPr>
          <w:rStyle w:val="rednoun"/>
          <w:color w:val="000000"/>
        </w:rPr>
        <w:t>«7.</w:t>
      </w:r>
      <w:r>
        <w:rPr>
          <w:color w:val="000000"/>
        </w:rPr>
        <w:t>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lastRenderedPageBreak/>
        <w:t>При определении права на распоряжение средствами семейного капитала (в том числе досрочное) и на их использование в соответствии с пунктом 2 настоящего Положения состав семьи определяется на дату подачи заявления о распоряжении средствами семейного капитала (в том числе досрочном).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Состав семьи для предоставления права на распоряжение средствами семейного капитала (в том числе досрочное) и на их использование в соответствии с пунктом 2 настоящего Положения устанавливается Советом Министров Республики Беларусь.»;</w:t>
      </w:r>
    </w:p>
    <w:p w:rsidR="0066061A" w:rsidRDefault="0066061A">
      <w:pPr>
        <w:pStyle w:val="newncpi"/>
        <w:rPr>
          <w:color w:val="000000"/>
        </w:rPr>
      </w:pPr>
      <w:bookmarkStart w:id="37" w:name="a30"/>
      <w:bookmarkEnd w:id="37"/>
      <w:r>
        <w:rPr>
          <w:color w:val="000000"/>
        </w:rPr>
        <w:t>пункт 9 изложить в следующей редакции:</w:t>
      </w:r>
    </w:p>
    <w:p w:rsidR="0066061A" w:rsidRDefault="0066061A">
      <w:pPr>
        <w:pStyle w:val="point"/>
        <w:rPr>
          <w:color w:val="000000"/>
        </w:rPr>
      </w:pPr>
      <w:r>
        <w:rPr>
          <w:rStyle w:val="rednoun"/>
          <w:color w:val="000000"/>
        </w:rPr>
        <w:t>«9.</w:t>
      </w:r>
      <w:r>
        <w:rPr>
          <w:color w:val="000000"/>
        </w:rPr>
        <w:t> Лица, которым местными исполнительными и распорядительными органами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любого члена семьи, указанного в решении о распоряжении средствами семейного капитала,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части второй пункта 2 настоящего Положения;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члена (членов) семьи, указанного (указанных) в решении о досрочном распоряжении средствами семейного капитала, по предусмотренному в этом решении направлению использования.»;</w:t>
      </w:r>
    </w:p>
    <w:p w:rsidR="0066061A" w:rsidRDefault="0066061A">
      <w:pPr>
        <w:pStyle w:val="newncpi"/>
        <w:rPr>
          <w:color w:val="000000"/>
        </w:rPr>
      </w:pPr>
      <w:bookmarkStart w:id="38" w:name="a31"/>
      <w:bookmarkEnd w:id="38"/>
      <w:r>
        <w:rPr>
          <w:color w:val="000000"/>
        </w:rPr>
        <w:t>дополнить Положение пунктом 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66061A" w:rsidRDefault="0066061A">
      <w:pPr>
        <w:pStyle w:val="point"/>
        <w:rPr>
          <w:color w:val="000000"/>
        </w:rPr>
      </w:pPr>
      <w:r>
        <w:rPr>
          <w:rStyle w:val="rednoun"/>
          <w:color w:val="000000"/>
        </w:rPr>
        <w:t>«9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При приобретении с использованием средств семейного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жилого помещения путем строительства 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части первой настоящего пункта, с разрешения местного исполнительного и распорядительного органа по месту нахождения жилого</w:t>
      </w:r>
      <w:r>
        <w:rPr>
          <w:color w:val="000000"/>
        </w:rPr>
        <w:t xml:space="preserve"> помещения.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Ограничение (обременение) прав на приобретенные с использованием средств семейного капитала жилое помещение, долю (доли) в праве собственности на него не возникает (не регистрируется) при 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жилого помещения, доли (долей) в праве собственности на него, и выплаты процентов за пользование этим кредитом.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использованием средств семейного капитала до истечения 5 лет со дня государственной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собственности на него возникает (регистрируется) со дня погашения задолженности по кредиту до истечения срока, устано</w:t>
      </w:r>
      <w:r>
        <w:rPr>
          <w:color w:val="000000"/>
        </w:rPr>
        <w:t>вленного в части первой настоящего пункта.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Запрет на отчуждение жилых помещений, приобретенных с использованием средств семейного капитала, в течение 5 лет со дня государственной регистрации права собственности на них, установленный в настоящем пункте, не распространяется на решения о досрочном распоряжении средствами семейного капитала местных исполнительных и распорядительных органов, принятые до 1 января 2022 г., если право собственности на такие жилые помещения зарегистрировано в 2020–2021 годах.»;</w:t>
      </w:r>
    </w:p>
    <w:p w:rsidR="0066061A" w:rsidRDefault="0066061A">
      <w:pPr>
        <w:pStyle w:val="newncpi"/>
        <w:rPr>
          <w:color w:val="000000"/>
        </w:rPr>
      </w:pPr>
      <w:bookmarkStart w:id="39" w:name="a32"/>
      <w:bookmarkEnd w:id="39"/>
      <w:r>
        <w:rPr>
          <w:color w:val="000000"/>
        </w:rPr>
        <w:lastRenderedPageBreak/>
        <w:t>в абзаце первом части первой пункта 13 слова «декабрь» и «декабрю» заменить соответственно словами «ноябрь» и «ноябрю»;</w:t>
      </w:r>
    </w:p>
    <w:p w:rsidR="0066061A" w:rsidRDefault="0066061A">
      <w:pPr>
        <w:pStyle w:val="newncpi"/>
        <w:rPr>
          <w:color w:val="000000"/>
        </w:rPr>
      </w:pPr>
      <w:bookmarkStart w:id="40" w:name="a33"/>
      <w:bookmarkEnd w:id="40"/>
      <w:r>
        <w:rPr>
          <w:color w:val="000000"/>
        </w:rPr>
        <w:t>пункт 15 после слова «налагается,» дополнить словами «обращение взыскания в бесспорном порядке не производится,»;</w:t>
      </w:r>
    </w:p>
    <w:p w:rsidR="0066061A" w:rsidRDefault="0066061A">
      <w:pPr>
        <w:pStyle w:val="newncpi"/>
        <w:rPr>
          <w:color w:val="000000"/>
        </w:rPr>
      </w:pPr>
      <w:bookmarkStart w:id="41" w:name="a34"/>
      <w:bookmarkEnd w:id="41"/>
      <w:r>
        <w:rPr>
          <w:color w:val="000000"/>
        </w:rPr>
        <w:t>дополнить Положение приложением (прилагается).</w:t>
      </w:r>
    </w:p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append1"/>
              <w:rPr>
                <w:color w:val="000000"/>
              </w:rPr>
            </w:pPr>
            <w:bookmarkStart w:id="42" w:name="a10"/>
            <w:bookmarkEnd w:id="42"/>
            <w:r>
              <w:rPr>
                <w:color w:val="000000"/>
              </w:rPr>
              <w:t>Приложение</w:t>
            </w:r>
          </w:p>
          <w:p w:rsidR="0066061A" w:rsidRDefault="0066061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единовременном </w:t>
            </w:r>
            <w:r>
              <w:rPr>
                <w:color w:val="000000"/>
              </w:rPr>
              <w:br/>
              <w:t xml:space="preserve">предоставлении семьям </w:t>
            </w:r>
            <w:r>
              <w:rPr>
                <w:color w:val="000000"/>
              </w:rPr>
              <w:br/>
              <w:t xml:space="preserve">безналичных денежных средств </w:t>
            </w:r>
            <w:r>
              <w:rPr>
                <w:color w:val="000000"/>
              </w:rPr>
              <w:br/>
              <w:t xml:space="preserve">при рождении (усыновлении, </w:t>
            </w:r>
            <w:r>
              <w:rPr>
                <w:color w:val="000000"/>
              </w:rPr>
              <w:br/>
              <w:t xml:space="preserve">удочерении) в 2015–2019 годах </w:t>
            </w:r>
            <w:r>
              <w:rPr>
                <w:color w:val="000000"/>
              </w:rPr>
              <w:br/>
              <w:t xml:space="preserve">третьего или последующих детей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 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Республики Беларусь</w:t>
            </w:r>
            <w:r>
              <w:rPr>
                <w:color w:val="000000"/>
              </w:rPr>
              <w:br/>
              <w:t>12.10.2021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№ 389</w:t>
            </w:r>
            <w:r>
              <w:rPr>
                <w:color w:val="000000"/>
              </w:rPr>
              <w:t>)</w:t>
            </w:r>
          </w:p>
        </w:tc>
      </w:tr>
    </w:tbl>
    <w:p w:rsidR="0066061A" w:rsidRDefault="0066061A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товаров, предназначенных для социальной реабилитации и интеграции инвалидов в общество, приобретаемых с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использованием</w:t>
      </w:r>
      <w:r>
        <w:rPr>
          <w:color w:val="000000"/>
        </w:rPr>
        <w:t xml:space="preserve"> средств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  <w:gridCol w:w="1722"/>
      </w:tblGrid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61A" w:rsidRDefault="0066061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61A" w:rsidRDefault="0066061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государственного стандарта Республики Беларусь СТБ ISO 9999-2020 «Устройства </w:t>
            </w: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для людей с ограничениями жизнедеятельности. Классификация и терминология»</w:t>
            </w:r>
          </w:p>
        </w:tc>
      </w:tr>
      <w:tr w:rsidR="00000000">
        <w:trPr>
          <w:trHeight w:val="240"/>
        </w:trPr>
        <w:tc>
          <w:tcPr>
            <w:tcW w:w="5000" w:type="pct"/>
            <w:h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Устройства вывода для 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6061A" w:rsidRDefault="00660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Тактильные дисплеи компьютера (в 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22 39 05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22 39 06</w:t>
            </w:r>
          </w:p>
        </w:tc>
      </w:tr>
      <w:tr w:rsidR="00000000">
        <w:trPr>
          <w:trHeight w:val="240"/>
        </w:trPr>
        <w:tc>
          <w:tcPr>
            <w:tcW w:w="5000" w:type="pct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устройства для подъема людей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61A" w:rsidRDefault="00660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</w:t>
            </w:r>
          </w:p>
        </w:tc>
      </w:tr>
      <w:tr w:rsidR="00000000">
        <w:trPr>
          <w:trHeight w:val="240"/>
        </w:trPr>
        <w:tc>
          <w:tcPr>
            <w:tcW w:w="5000" w:type="pct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Кровати и оборудование для кроватей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61A" w:rsidRDefault="00660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Кровати и 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18 12 04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18 12 07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6. Кровати и съемные основания под матрац (опорные платформы 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18 12 10</w:t>
            </w:r>
          </w:p>
        </w:tc>
      </w:tr>
    </w:tbl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append1"/>
              <w:rPr>
                <w:color w:val="000000"/>
              </w:rPr>
            </w:pPr>
            <w:bookmarkStart w:id="43" w:name="a12"/>
            <w:bookmarkEnd w:id="43"/>
            <w:r>
              <w:rPr>
                <w:color w:val="000000"/>
              </w:rPr>
              <w:t>Приложение</w:t>
            </w:r>
          </w:p>
          <w:p w:rsidR="0066061A" w:rsidRDefault="0066061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предоставлении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lastRenderedPageBreak/>
              <w:t>семейного капитала</w:t>
            </w:r>
            <w:r>
              <w:rPr>
                <w:color w:val="000000"/>
              </w:rPr>
              <w:t xml:space="preserve"> при рождении </w:t>
            </w:r>
            <w:r>
              <w:rPr>
                <w:color w:val="000000"/>
              </w:rPr>
              <w:br/>
              <w:t xml:space="preserve">(усыновлении, удочерении) </w:t>
            </w:r>
            <w:r>
              <w:rPr>
                <w:color w:val="000000"/>
              </w:rPr>
              <w:br/>
              <w:t xml:space="preserve">в 2020–2024 годах третьего </w:t>
            </w:r>
            <w:r>
              <w:rPr>
                <w:color w:val="000000"/>
              </w:rPr>
              <w:br/>
              <w:t xml:space="preserve">или последующих детей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 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Республики Беларусь</w:t>
            </w:r>
            <w:r>
              <w:rPr>
                <w:color w:val="000000"/>
              </w:rPr>
              <w:br/>
              <w:t>12.10.2021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№ 389</w:t>
            </w:r>
            <w:r>
              <w:rPr>
                <w:color w:val="000000"/>
              </w:rPr>
              <w:t>)</w:t>
            </w:r>
          </w:p>
        </w:tc>
      </w:tr>
    </w:tbl>
    <w:p w:rsidR="0066061A" w:rsidRDefault="0066061A">
      <w:pPr>
        <w:pStyle w:val="titlep"/>
        <w:jc w:val="left"/>
        <w:rPr>
          <w:color w:val="000000"/>
        </w:rPr>
      </w:pPr>
      <w:r>
        <w:rPr>
          <w:color w:val="000000"/>
        </w:rPr>
        <w:lastRenderedPageBreak/>
        <w:t>ПЕРЕЧЕНЬ</w:t>
      </w:r>
      <w:r>
        <w:rPr>
          <w:color w:val="000000"/>
        </w:rPr>
        <w:br/>
        <w:t xml:space="preserve">товаров, предназначенных для социальной реабилитации и интеграции инвалидов </w:t>
      </w:r>
      <w:r>
        <w:rPr>
          <w:color w:val="000000"/>
        </w:rPr>
        <w:br/>
        <w:t>в общество, приобретаемых с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использованием</w:t>
      </w:r>
      <w:r>
        <w:rPr>
          <w:color w:val="000000"/>
        </w:rPr>
        <w:t xml:space="preserve"> средств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  <w:gridCol w:w="1722"/>
      </w:tblGrid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61A" w:rsidRDefault="0066061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61A" w:rsidRDefault="0066061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государственного стандарта Республики Беларусь СТБ ISO 9999-2020 «Устройства </w:t>
            </w: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для людей с ограничениями жизнедеятельности. Классификация и терминология»</w:t>
            </w:r>
          </w:p>
        </w:tc>
      </w:tr>
      <w:tr w:rsidR="00000000">
        <w:trPr>
          <w:trHeight w:val="240"/>
        </w:trPr>
        <w:tc>
          <w:tcPr>
            <w:tcW w:w="5000" w:type="pct"/>
            <w:h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Устройства вывода для 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6061A" w:rsidRDefault="00660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Тактильные дисплеи компьютера (в 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22 39 05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22 39 06</w:t>
            </w:r>
          </w:p>
        </w:tc>
      </w:tr>
      <w:tr w:rsidR="00000000">
        <w:trPr>
          <w:trHeight w:val="240"/>
        </w:trPr>
        <w:tc>
          <w:tcPr>
            <w:tcW w:w="5000" w:type="pct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устройства для подъема людей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61A" w:rsidRDefault="00660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</w:t>
            </w:r>
          </w:p>
        </w:tc>
      </w:tr>
      <w:tr w:rsidR="00000000">
        <w:trPr>
          <w:trHeight w:val="240"/>
        </w:trPr>
        <w:tc>
          <w:tcPr>
            <w:tcW w:w="5000" w:type="pct"/>
            <w:h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Кровати и </w:t>
            </w:r>
            <w:r>
              <w:rPr>
                <w:color w:val="000000"/>
              </w:rPr>
              <w:t>оборудование для кроватей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61A" w:rsidRDefault="00660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Кровати и 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18 12 04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18 12 07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61A" w:rsidRDefault="0066061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6. Кровати и съемные основания под матрац (опорные платформы 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61A" w:rsidRDefault="0066061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18 12 10</w:t>
            </w:r>
          </w:p>
        </w:tc>
      </w:tr>
    </w:tbl>
    <w:p w:rsidR="0066061A" w:rsidRDefault="0066061A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F9"/>
    <w:rsid w:val="005503EB"/>
    <w:rsid w:val="0066061A"/>
    <w:rsid w:val="00C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6C8AF-9637-4290-B0F0-8E5FEB7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6349</Words>
  <Characters>36193</Characters>
  <Application>Microsoft Office Word</Application>
  <DocSecurity>0</DocSecurity>
  <Lines>301</Lines>
  <Paragraphs>84</Paragraphs>
  <ScaleCrop>false</ScaleCrop>
  <Company/>
  <LinksUpToDate>false</LinksUpToDate>
  <CharactersWithSpaces>42458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2025-02-11T05:16:00Z</dcterms:created>
  <dcterms:modified xsi:type="dcterms:W3CDTF">2025-02-11T05:16:00Z</dcterms:modified>
</cp:coreProperties>
</file>