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478" w:rsidRDefault="004C4478" w:rsidP="004C4478">
      <w:pPr>
        <w:jc w:val="both"/>
        <w:rPr>
          <w:rFonts w:ascii="Tahoma" w:hAnsi="Tahoma" w:cs="Tahoma"/>
          <w:b/>
          <w:bCs/>
          <w:color w:val="001E69"/>
          <w:sz w:val="24"/>
          <w:szCs w:val="24"/>
          <w:lang w:eastAsia="ru-RU"/>
        </w:rPr>
      </w:pPr>
      <w:bookmarkStart w:id="0" w:name="_GoBack"/>
      <w:bookmarkEnd w:id="0"/>
      <w:r>
        <w:rPr>
          <w:rFonts w:ascii="Tahoma" w:hAnsi="Tahoma" w:cs="Tahoma"/>
          <w:b/>
          <w:bCs/>
          <w:color w:val="001E69"/>
          <w:sz w:val="24"/>
          <w:szCs w:val="24"/>
          <w:lang w:eastAsia="ru-RU"/>
        </w:rPr>
        <w:t xml:space="preserve">ОБ ИСПОЛЬЗОВАНИИ СЕМЕЙНОГО КАПИТАЛА </w:t>
      </w:r>
    </w:p>
    <w:p w:rsidR="004C4478" w:rsidRDefault="004C4478" w:rsidP="004C4478">
      <w:pPr>
        <w:jc w:val="both"/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12 октября принят Указ Президента Республики Беларусь № 389 «Об использовании семейного капитала».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Вступает в силу с 1 января 2022 г.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Распространяет свое действие на семейный капитал, назначенный по программам 2015 – 2019 годов и 2020 – 2024 годов. </w:t>
      </w:r>
    </w:p>
    <w:p w:rsidR="004C4478" w:rsidRDefault="004C4478" w:rsidP="004C4478">
      <w:pPr>
        <w:jc w:val="both"/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000080"/>
          <w:sz w:val="21"/>
          <w:szCs w:val="21"/>
          <w:lang w:eastAsia="ru-RU"/>
        </w:rPr>
        <w:t>РАСШИРЕНЫ НАПРАВЛЕНИЯ ДОСРОЧНОГО ИСПОЛЬЗОВАНИЯ СРЕДСТВ СЕМЕЙНОГО КАПИТАЛА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</w:t>
      </w: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jc w:val="both"/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Указом № 389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расширены направления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досрочного использования средств семейного капитала. </w:t>
      </w: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jc w:val="both"/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Так, в дополнение к действующим направлениям, с 1 января 2022 г. средства семейного капитала могут быть досрочно (независимо от времени, прошедшего </w:t>
      </w:r>
      <w:proofErr w:type="gramStart"/>
      <w:r>
        <w:rPr>
          <w:rFonts w:ascii="Tahoma" w:hAnsi="Tahoma" w:cs="Tahoma"/>
          <w:color w:val="443F3F"/>
          <w:sz w:val="21"/>
          <w:szCs w:val="21"/>
          <w:lang w:eastAsia="ru-RU"/>
        </w:rPr>
        <w:t>с даты</w:t>
      </w:r>
      <w:proofErr w:type="gramEnd"/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его назначения) использованы: </w:t>
      </w:r>
    </w:p>
    <w:p w:rsidR="004C4478" w:rsidRDefault="004C4478" w:rsidP="004C4478">
      <w:pPr>
        <w:jc w:val="both"/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jc w:val="both"/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443F3F"/>
          <w:sz w:val="21"/>
          <w:szCs w:val="21"/>
          <w:u w:val="single"/>
          <w:lang w:eastAsia="ru-RU"/>
        </w:rPr>
        <w:t>На улучшение жилищных условий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</w:t>
      </w: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Предоставлена возможность расходовать средства семейного капитала </w:t>
      </w:r>
      <w:proofErr w:type="gramStart"/>
      <w:r>
        <w:rPr>
          <w:rFonts w:ascii="Tahoma" w:hAnsi="Tahoma" w:cs="Tahoma"/>
          <w:color w:val="443F3F"/>
          <w:sz w:val="21"/>
          <w:szCs w:val="21"/>
          <w:lang w:eastAsia="ru-RU"/>
        </w:rPr>
        <w:t>на</w:t>
      </w:r>
      <w:proofErr w:type="gramEnd"/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: </w:t>
      </w:r>
    </w:p>
    <w:p w:rsidR="004C4478" w:rsidRDefault="004C4478" w:rsidP="004C447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приобретение 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доли (долей)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жилого помещения, если после такого приобретения гражданин становится собственником всего жилого помещения</w:t>
      </w:r>
    </w:p>
    <w:p w:rsidR="004C4478" w:rsidRDefault="004C4478" w:rsidP="004C447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погашение 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займа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, предоставленного организациями по месту работы члена семьи на строительство (реконструкцию), приобретение жилья</w:t>
      </w:r>
    </w:p>
    <w:p w:rsidR="004C4478" w:rsidRDefault="004C4478" w:rsidP="004C4478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погашение задолженности по кредитам, предоставленным банками 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по договорам о переводе долга, о приеме задолженности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(в случаях, когда долг по кредиту переведен на члена многодетной семьи или им принята задолженность по кредитному договору)</w:t>
      </w:r>
    </w:p>
    <w:p w:rsidR="004C4478" w:rsidRDefault="004C4478" w:rsidP="004C4478">
      <w:pPr>
        <w:jc w:val="both"/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FF0000"/>
          <w:sz w:val="21"/>
          <w:szCs w:val="21"/>
          <w:lang w:eastAsia="ru-RU"/>
        </w:rPr>
        <w:t>Внимание!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Сохраняется действующий подход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– досрочно использовать средства семейного капитала на цели улучшения жилищных условий возможно только: </w:t>
      </w:r>
    </w:p>
    <w:p w:rsidR="004C4478" w:rsidRDefault="004C4478" w:rsidP="004C447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отношении члена семьи,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 xml:space="preserve"> состоящего на учете нуждающихся в улучшении жилищных условий либо состоявшего на таком учете на дату заключения кредитного договора, договора займа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. При этом член семьи может (мог) состоять на таком учете лично или в составе семьи</w:t>
      </w:r>
    </w:p>
    <w:p w:rsidR="004C4478" w:rsidRDefault="004C4478" w:rsidP="004C4478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при условии, если член семьи </w:t>
      </w:r>
      <w:r>
        <w:rPr>
          <w:rFonts w:ascii="Tahoma" w:eastAsia="Times New Roman" w:hAnsi="Tahoma" w:cs="Tahoma"/>
          <w:b/>
          <w:bCs/>
          <w:color w:val="443F3F"/>
          <w:sz w:val="21"/>
          <w:szCs w:val="21"/>
          <w:lang w:eastAsia="ru-RU"/>
        </w:rPr>
        <w:t>направлен</w:t>
      </w: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 xml:space="preserve"> на строительство (реконструкцию) жилья, в том числе при погашении кредита (займа), взятого на его строительство (реконструкцию) – если строительство (реконструкция) осуществляется (осуществлялось) в составе организации застройщиков либо на основании договора создания объекта долевого строительства.</w:t>
      </w:r>
    </w:p>
    <w:p w:rsidR="004C4478" w:rsidRDefault="004C4478" w:rsidP="004C4478">
      <w:pPr>
        <w:jc w:val="both"/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С целью более взвешенного подхода граждан к расходованию средств семейного капитала на улучшение жилищных условий с 1 января 2022 г. вводятся следующие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регулирующие нормы: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</w:t>
      </w: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jc w:val="both"/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1)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граждане, принимая решение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о строительстве (реконструкции) или приобретении жилых помещений, приобретении доли (долей) в праве собственности на них общей площадью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менее установленных нормативов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(менее 15 кв. метров, в г. Минске – менее 10 кв. метров на одного человека)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будут сниматься с учета нуждающихся на основании их заявления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</w:t>
      </w: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jc w:val="both"/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2)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запрещается отчуждение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(купля-продажа, мена, дарение и др.) приобретенных с использованием средств семейного капитала жилых помещений, доли (долей) в праве собственности на них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в течение пяти лет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со дня государственной регистрации права собственности на них </w:t>
      </w:r>
    </w:p>
    <w:p w:rsidR="004C4478" w:rsidRDefault="004C4478" w:rsidP="004C4478">
      <w:pPr>
        <w:jc w:val="both"/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jc w:val="both"/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color w:val="443F3F"/>
          <w:sz w:val="21"/>
          <w:szCs w:val="21"/>
          <w:lang w:eastAsia="ru-RU"/>
        </w:rPr>
        <w:lastRenderedPageBreak/>
        <w:t xml:space="preserve">Возможность отчуждения ранее пятилетнего срока предусматривается в следующих случаях: </w:t>
      </w:r>
    </w:p>
    <w:p w:rsidR="004C4478" w:rsidRDefault="004C4478" w:rsidP="004C447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если жилое помещение находится в залоге (ипотеке) в соответствии с законодательством или договором о залоге</w:t>
      </w:r>
    </w:p>
    <w:p w:rsidR="004C4478" w:rsidRDefault="004C4478" w:rsidP="004C4478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Tahoma" w:eastAsia="Times New Roman" w:hAnsi="Tahoma" w:cs="Tahoma"/>
          <w:color w:val="443F3F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в исключительных случаях (перее</w:t>
      </w:r>
      <w:proofErr w:type="gramStart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зд в др</w:t>
      </w:r>
      <w:proofErr w:type="gramEnd"/>
      <w:r>
        <w:rPr>
          <w:rFonts w:ascii="Tahoma" w:eastAsia="Times New Roman" w:hAnsi="Tahoma" w:cs="Tahoma"/>
          <w:color w:val="443F3F"/>
          <w:sz w:val="21"/>
          <w:szCs w:val="21"/>
          <w:lang w:eastAsia="ru-RU"/>
        </w:rPr>
        <w:t>угую местность, расторжение брака, смерть собственника жилого помещения и другое) либо в случае улучшения жилищных условий собственником жилого помещения путем строительства (реконструкции) или приобретения другого жилого помещения – с разрешения местного исполнительного и распорядительного органа</w:t>
      </w:r>
    </w:p>
    <w:p w:rsidR="004C4478" w:rsidRDefault="004C4478" w:rsidP="004C4478">
      <w:pPr>
        <w:jc w:val="both"/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3)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запрещается приобретение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за счет средств семейного капитала жилых домов, доли (долей) в праве собственности на них,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 xml:space="preserve">включенных в реестры ветхих и пустующих домов 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(с 1 января 2023 г. – в государственный информационный ресурс «Единый реестр пустующих домов») </w:t>
      </w:r>
    </w:p>
    <w:p w:rsidR="004C4478" w:rsidRDefault="004C4478" w:rsidP="004C4478">
      <w:pPr>
        <w:jc w:val="both"/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jc w:val="both"/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4)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вводится обязательная оценка стоимости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(на основании рыночных методов оценки) приобретаемых за счет средств семейного капитала жилых помещений (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в том числе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квартиры в многоквартирном доме), доли (долей) в праве собственности на него </w:t>
      </w:r>
    </w:p>
    <w:p w:rsidR="004C4478" w:rsidRDefault="004C4478" w:rsidP="004C4478">
      <w:pPr>
        <w:jc w:val="both"/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  <w:proofErr w:type="gramStart"/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Данные нормы направлены на установление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единого подхода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с условиями предоставления гражданам государственной поддержки при строительстве (реконструкции) или приобретении жилья в рамках указов Президента Республики Беларусь от 06.01.2012 № 13 «О некоторых вопросах предоставления гражданам государственной поддержки при строительстве (реконструкции) или приобретении жилых помещений» и от 04.07.2017 № 240 «О государственной поддержке граждан при строительстве (реконструкции) жилых помещений». </w:t>
      </w:r>
      <w:proofErr w:type="gramEnd"/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443F3F"/>
          <w:sz w:val="21"/>
          <w:szCs w:val="21"/>
          <w:u w:val="single"/>
          <w:lang w:eastAsia="ru-RU"/>
        </w:rPr>
        <w:t>На получение образования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</w:t>
      </w: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 xml:space="preserve">С 1 января 2022 г. 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досрочно использовать средства семейного капитала на получение образования возможно не только в государственных учреждениях образования, но и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в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. К ним относятся, например, Белорусский торгово-экономический университет потребительской кооперации, Международный университет «МИТСО». </w:t>
      </w: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 xml:space="preserve">Справочно. </w:t>
      </w:r>
      <w:r>
        <w:rPr>
          <w:rFonts w:ascii="Tahoma" w:hAnsi="Tahoma" w:cs="Tahoma"/>
          <w:i/>
          <w:iCs/>
          <w:color w:val="443F3F"/>
          <w:sz w:val="21"/>
          <w:szCs w:val="21"/>
          <w:lang w:eastAsia="ru-RU"/>
        </w:rPr>
        <w:t>До 1 января 2022 г. – только в государственных учреждениях образования.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</w:t>
      </w: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443F3F"/>
          <w:sz w:val="21"/>
          <w:szCs w:val="21"/>
          <w:u w:val="single"/>
          <w:lang w:eastAsia="ru-RU"/>
        </w:rPr>
        <w:t xml:space="preserve">На получение платных медицинских услуг </w:t>
      </w: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Указом № 389 дополнена возможность досрочного использования средств семейного капитала на предоставление для медицинского применения иных медицинских изделий (вместо тех, которые предусмотрены бесплатно согласно Республиканскому формуляру медицинских изделий) при выполнении сложных и высокотехнологичных вмешательств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в ортопедии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(ранее – в кардиохирургии, нейрохирургии, онкологии). </w:t>
      </w: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FF0000"/>
          <w:sz w:val="21"/>
          <w:szCs w:val="21"/>
          <w:lang w:eastAsia="ru-RU"/>
        </w:rPr>
        <w:t>Внимание!</w:t>
      </w:r>
      <w:r>
        <w:rPr>
          <w:rFonts w:ascii="Tahoma" w:hAnsi="Tahoma" w:cs="Tahoma"/>
          <w:color w:val="FF0000"/>
          <w:sz w:val="21"/>
          <w:szCs w:val="21"/>
          <w:lang w:eastAsia="ru-RU"/>
        </w:rPr>
        <w:t xml:space="preserve"> 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Досрочно использовать средства семейного капитала на получение платных медицинских услуг возможно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в любом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учреждении здравоохранения, в том числе частном (при наличии заключения врачебно-консультационной комиссии (ВКК)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государственной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организации здравоохранения о нуждаемости в таких услугах). </w:t>
      </w: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Справочно.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</w:t>
      </w:r>
      <w:proofErr w:type="gramStart"/>
      <w:r>
        <w:rPr>
          <w:rFonts w:ascii="Tahoma" w:hAnsi="Tahoma" w:cs="Tahoma"/>
          <w:i/>
          <w:iCs/>
          <w:color w:val="443F3F"/>
          <w:sz w:val="21"/>
          <w:szCs w:val="21"/>
          <w:lang w:eastAsia="ru-RU"/>
        </w:rPr>
        <w:t xml:space="preserve">Следует отметить, что семейный капитал может досрочно использоваться на предоставление для медицинского применения иных </w:t>
      </w:r>
      <w:r>
        <w:rPr>
          <w:rFonts w:ascii="Tahoma" w:hAnsi="Tahoma" w:cs="Tahoma"/>
          <w:b/>
          <w:bCs/>
          <w:i/>
          <w:iCs/>
          <w:color w:val="443F3F"/>
          <w:sz w:val="21"/>
          <w:szCs w:val="21"/>
          <w:lang w:eastAsia="ru-RU"/>
        </w:rPr>
        <w:t>лекарственных средств</w:t>
      </w:r>
      <w:r>
        <w:rPr>
          <w:rFonts w:ascii="Tahoma" w:hAnsi="Tahoma" w:cs="Tahoma"/>
          <w:i/>
          <w:iCs/>
          <w:color w:val="443F3F"/>
          <w:sz w:val="21"/>
          <w:szCs w:val="21"/>
          <w:lang w:eastAsia="ru-RU"/>
        </w:rPr>
        <w:t xml:space="preserve"> (вместо тех, которые включены в Республиканский формуляр лекарственных средств), если член семьи в них нуждается по заключению ВКК государственной организации здравоохранения – не ограничиваясь такими направлениями как выполнение сложных и высокотехнологичных вмешательств в кардиохирургии, нейрохирургии, онкологии, ортопедии.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</w:t>
      </w:r>
      <w:proofErr w:type="gramEnd"/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443F3F"/>
          <w:sz w:val="21"/>
          <w:szCs w:val="21"/>
          <w:u w:val="single"/>
          <w:lang w:eastAsia="ru-RU"/>
        </w:rPr>
        <w:lastRenderedPageBreak/>
        <w:t>На приобретение товаров, предназначенных для социальной реабилитации и интеграции инвалидов в общество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</w:t>
      </w: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Указом вводится новое направление досрочного использования средств семейного капитала –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 xml:space="preserve">на приобретение 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>для членов семьи, являющихся инвалидами, детьми-инвалидами с нарушениями органов зрения, опорно-двигательного аппарата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 xml:space="preserve"> товаров, предназначенных для социальной реабилитации и интеграции их в общество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(тактильные дисплеи и принтеры Брайля, устройства для подъема людей, функциональные кровати). </w:t>
      </w: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Перечень этих товаров определен Указом № 389. </w:t>
      </w: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ВНЕСЕНЫ ИЗМЕНЕНИЯ В ПОРЯДОК НАЗНАЧЕНИЯ СЕМЕЙНОГО КАПИТАЛА ПРИ УСЫНОВЛЕНИИ (УДОЧЕРЕНИИ) ДЕТЕЙ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</w:t>
      </w: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С 1 января 2022 г. при усыновлении (удочерении) третьего или последующих детей супруги (супруга) право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на назначение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 семейного капитала не предоставляется, поскольку семейный капитал, как государственная поддержка, предусмотрен при усыновлении (удочерении) детей-сирот. </w:t>
      </w: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</w:p>
    <w:p w:rsidR="004C4478" w:rsidRDefault="004C4478" w:rsidP="004C4478">
      <w:pPr>
        <w:rPr>
          <w:rFonts w:ascii="Tahoma" w:hAnsi="Tahoma" w:cs="Tahoma"/>
          <w:color w:val="443F3F"/>
          <w:sz w:val="21"/>
          <w:szCs w:val="21"/>
          <w:lang w:eastAsia="ru-RU"/>
        </w:rPr>
      </w:pPr>
      <w:r>
        <w:rPr>
          <w:rFonts w:ascii="Tahoma" w:hAnsi="Tahoma" w:cs="Tahoma"/>
          <w:b/>
          <w:bCs/>
          <w:color w:val="FF0000"/>
          <w:sz w:val="21"/>
          <w:szCs w:val="21"/>
          <w:lang w:eastAsia="ru-RU"/>
        </w:rPr>
        <w:t>Внимание!</w:t>
      </w:r>
      <w:r>
        <w:rPr>
          <w:rFonts w:ascii="Tahoma" w:hAnsi="Tahoma" w:cs="Tahoma"/>
          <w:color w:val="FF0000"/>
          <w:sz w:val="21"/>
          <w:szCs w:val="21"/>
          <w:lang w:eastAsia="ru-RU"/>
        </w:rPr>
        <w:t xml:space="preserve"> </w:t>
      </w:r>
      <w:r>
        <w:rPr>
          <w:rFonts w:ascii="Tahoma" w:hAnsi="Tahoma" w:cs="Tahoma"/>
          <w:b/>
          <w:bCs/>
          <w:color w:val="443F3F"/>
          <w:sz w:val="21"/>
          <w:szCs w:val="21"/>
          <w:lang w:eastAsia="ru-RU"/>
        </w:rPr>
        <w:t>С 1 января 2022 г. Указом № 389 внесены дополнения в перечень документов</w:t>
      </w:r>
      <w:r>
        <w:rPr>
          <w:rFonts w:ascii="Tahoma" w:hAnsi="Tahoma" w:cs="Tahoma"/>
          <w:color w:val="443F3F"/>
          <w:sz w:val="21"/>
          <w:szCs w:val="21"/>
          <w:lang w:eastAsia="ru-RU"/>
        </w:rPr>
        <w:t xml:space="preserve">, представляемых гражданами в местные исполнительные и распорядительные органы для принятия решения о досрочном распоряжении средствами семейного капитала. </w:t>
      </w:r>
    </w:p>
    <w:p w:rsidR="004C4478" w:rsidRDefault="004C4478" w:rsidP="004C4478">
      <w:pPr>
        <w:rPr>
          <w:color w:val="1F497D"/>
        </w:rPr>
      </w:pPr>
    </w:p>
    <w:p w:rsidR="002B648C" w:rsidRDefault="002B648C"/>
    <w:sectPr w:rsidR="002B6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11FE"/>
    <w:multiLevelType w:val="multilevel"/>
    <w:tmpl w:val="0128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F7672"/>
    <w:multiLevelType w:val="multilevel"/>
    <w:tmpl w:val="83142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2851DC"/>
    <w:multiLevelType w:val="multilevel"/>
    <w:tmpl w:val="63FC1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478"/>
    <w:rsid w:val="002B648C"/>
    <w:rsid w:val="004C4478"/>
    <w:rsid w:val="0066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7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4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47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44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447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4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3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1081</Words>
  <Characters>6164</Characters>
  <Application>Microsoft Office Word</Application>
  <DocSecurity>4</DocSecurity>
  <Lines>51</Lines>
  <Paragraphs>14</Paragraphs>
  <ScaleCrop>false</ScaleCrop>
  <Company>SPecialiST RePack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PC20</cp:lastModifiedBy>
  <cp:revision>2</cp:revision>
  <dcterms:created xsi:type="dcterms:W3CDTF">2021-11-05T08:34:00Z</dcterms:created>
  <dcterms:modified xsi:type="dcterms:W3CDTF">2021-11-05T08:34:00Z</dcterms:modified>
</cp:coreProperties>
</file>